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ascii="黑体" w:hAnsi="黑体" w:eastAsia="黑体"/>
          <w:sz w:val="48"/>
          <w:szCs w:val="48"/>
          <w:highlight w:val="none"/>
        </w:rPr>
      </w:pPr>
    </w:p>
    <w:p>
      <w:pPr>
        <w:pStyle w:val="3"/>
        <w:bidi w:val="0"/>
        <w:ind w:left="1084" w:hanging="1084" w:hangingChars="300"/>
        <w:rPr>
          <w:rFonts w:hint="eastAsia"/>
          <w:b/>
          <w:bCs/>
          <w:sz w:val="36"/>
          <w:szCs w:val="36"/>
        </w:rPr>
      </w:pPr>
      <w:r>
        <w:rPr>
          <w:rFonts w:hint="eastAsia"/>
          <w:b/>
          <w:bCs/>
          <w:sz w:val="36"/>
          <w:szCs w:val="36"/>
          <w:lang w:eastAsia="zh-CN"/>
        </w:rPr>
        <w:t>永杭高速公路边坡溜方及排水系统完善工程及龙岩辖区收费站仿真草皮项目</w:t>
      </w:r>
      <w:r>
        <w:rPr>
          <w:rFonts w:hint="eastAsia"/>
          <w:b/>
          <w:bCs/>
          <w:sz w:val="36"/>
          <w:szCs w:val="36"/>
        </w:rPr>
        <w:t>施工协作队伍选择</w:t>
      </w:r>
    </w:p>
    <w:p>
      <w:pPr>
        <w:pStyle w:val="17"/>
        <w:ind w:left="0" w:leftChars="0" w:firstLine="0" w:firstLineChars="0"/>
        <w:jc w:val="center"/>
        <w:rPr>
          <w:rFonts w:ascii="黑体" w:hAnsi="黑体" w:eastAsia="黑体"/>
          <w:sz w:val="52"/>
          <w:szCs w:val="52"/>
          <w:highlight w:val="none"/>
        </w:rPr>
      </w:pPr>
    </w:p>
    <w:p>
      <w:pPr>
        <w:pStyle w:val="12"/>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7"/>
        <w:ind w:firstLine="400"/>
        <w:rPr>
          <w:highlight w:val="none"/>
        </w:rPr>
      </w:pPr>
    </w:p>
    <w:p>
      <w:pPr>
        <w:pStyle w:val="17"/>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XM2-2024-LW-002</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7"/>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4</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2"/>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永杭高速公路边坡溜方及排水系统完善工程及龙岩辖区收费站仿真草皮项目</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XM2-2024-LW-002</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永杭高速公路边坡溜方及排水系统完善工程及龙岩辖区收费站仿真草皮项目</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w:t>
      </w:r>
      <w:r>
        <w:rPr>
          <w:rFonts w:hint="eastAsia" w:eastAsia="仿宋"/>
          <w:sz w:val="28"/>
          <w:szCs w:val="28"/>
          <w:highlight w:val="none"/>
          <w:u w:val="none"/>
        </w:rPr>
        <w:t>于</w:t>
      </w:r>
      <w:r>
        <w:rPr>
          <w:rFonts w:hint="eastAsia" w:eastAsia="仿宋"/>
          <w:sz w:val="28"/>
          <w:szCs w:val="28"/>
          <w:highlight w:val="none"/>
          <w:lang w:eastAsia="zh-CN"/>
        </w:rPr>
        <w:t>永杭高速公路、龙岩辖区收费站</w:t>
      </w:r>
      <w:r>
        <w:rPr>
          <w:rFonts w:hint="eastAsia" w:eastAsia="仿宋"/>
          <w:sz w:val="28"/>
          <w:szCs w:val="28"/>
          <w:highlight w:val="none"/>
          <w:lang w:val="en-US" w:eastAsia="zh-CN"/>
        </w:rPr>
        <w:t>。</w:t>
      </w:r>
    </w:p>
    <w:p>
      <w:pPr>
        <w:pStyle w:val="3"/>
        <w:bidi w:val="0"/>
        <w:ind w:firstLine="560" w:firstLineChars="200"/>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合同包主要包含永杭高速公路AK180+600边沟水毁冲刷抢修工程，上杭西收费站办公楼右前方上边坡溜方水毁抢修工程，上杭西收费站机房后上边坡溜方水毁抢修工程，BK192+650右侧下边坡冲刷溜方水毁抢修工程，BK181+550~BK180+660边沟排水系统完善工程</w:t>
      </w:r>
      <w:r>
        <w:rPr>
          <w:rFonts w:hint="eastAsia" w:eastAsia="仿宋" w:cs="Times New Roman"/>
          <w:b w:val="0"/>
          <w:bCs w:val="0"/>
          <w:kern w:val="2"/>
          <w:sz w:val="28"/>
          <w:szCs w:val="28"/>
          <w:highlight w:val="none"/>
          <w:lang w:val="en-US" w:eastAsia="zh-CN" w:bidi="ar-SA"/>
        </w:rPr>
        <w:t>，</w:t>
      </w:r>
      <w:r>
        <w:rPr>
          <w:rFonts w:hint="eastAsia" w:ascii="Times New Roman" w:hAnsi="Times New Roman" w:eastAsia="仿宋" w:cs="Times New Roman"/>
          <w:b w:val="0"/>
          <w:bCs w:val="0"/>
          <w:kern w:val="2"/>
          <w:sz w:val="28"/>
          <w:szCs w:val="28"/>
          <w:highlight w:val="none"/>
          <w:lang w:val="en-US" w:eastAsia="zh-CN" w:bidi="ar-SA"/>
        </w:rPr>
        <w:t>龙岩辖区收费站仿真草皮项目；主要工程量（详见工程量清单表）。</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1940762</w:t>
      </w:r>
      <w:r>
        <w:rPr>
          <w:rFonts w:hint="eastAsia" w:ascii="Calibri" w:hAnsi="Calibri" w:eastAsia="仿宋"/>
          <w:sz w:val="28"/>
          <w:szCs w:val="28"/>
          <w:highlight w:val="none"/>
        </w:rPr>
        <w:t>元。</w:t>
      </w:r>
    </w:p>
    <w:p>
      <w:pPr>
        <w:pStyle w:val="32"/>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采购人提供的除外）</w:t>
      </w:r>
      <w:r>
        <w:rPr>
          <w:rFonts w:hint="eastAsia" w:eastAsia="仿宋"/>
          <w:sz w:val="28"/>
          <w:szCs w:val="28"/>
          <w:highlight w:val="none"/>
          <w:u w:val="single"/>
        </w:rPr>
        <w:t>、机械设备、防护措施等一切投入。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120</w:t>
      </w:r>
      <w:r>
        <w:rPr>
          <w:rFonts w:hint="eastAsia" w:eastAsia="仿宋"/>
          <w:sz w:val="28"/>
          <w:szCs w:val="28"/>
          <w:highlight w:val="none"/>
          <w:u w:val="single"/>
          <w:lang w:eastAsia="zh-CN"/>
        </w:rPr>
        <w:t>个日历天</w:t>
      </w:r>
      <w:r>
        <w:rPr>
          <w:rFonts w:hint="eastAsia" w:eastAsia="仿宋"/>
          <w:sz w:val="28"/>
          <w:szCs w:val="28"/>
          <w:highlight w:val="none"/>
          <w:u w:val="single"/>
          <w:lang w:val="en-US" w:eastAsia="zh-CN"/>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本项目在本项目在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w:t>
      </w:r>
      <w:r>
        <w:rPr>
          <w:rFonts w:hint="eastAsia" w:ascii="Times New Roman" w:hAnsi="Times New Roman" w:eastAsia="仿宋" w:cs="Times New Roman"/>
          <w:b w:val="0"/>
          <w:bCs w:val="0"/>
          <w:kern w:val="2"/>
          <w:sz w:val="28"/>
          <w:szCs w:val="28"/>
          <w:highlight w:val="none"/>
          <w:lang w:val="en-US" w:eastAsia="zh-CN" w:bidi="ar-SA"/>
        </w:rPr>
        <w:t>内的，其报价文件将被拒绝。</w:t>
      </w:r>
    </w:p>
    <w:p>
      <w:pPr>
        <w:spacing w:line="400" w:lineRule="exact"/>
        <w:ind w:firstLine="537" w:firstLineChars="192"/>
        <w:jc w:val="left"/>
        <w:rPr>
          <w:rFonts w:hint="eastAsia" w:eastAsia="仿宋"/>
          <w:sz w:val="28"/>
          <w:szCs w:val="28"/>
          <w:highlight w:val="none"/>
        </w:rPr>
      </w:pPr>
      <w:r>
        <w:rPr>
          <w:rFonts w:hint="eastAsia" w:eastAsia="仿宋"/>
          <w:sz w:val="28"/>
          <w:szCs w:val="28"/>
          <w:highlight w:val="none"/>
          <w:lang w:val="en-US" w:eastAsia="zh-CN"/>
        </w:rPr>
        <w:t>2</w:t>
      </w:r>
      <w:r>
        <w:rPr>
          <w:rFonts w:hint="eastAsia" w:eastAsia="仿宋"/>
          <w:sz w:val="28"/>
          <w:szCs w:val="28"/>
          <w:highlight w:val="none"/>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537" w:firstLineChars="192"/>
        <w:jc w:val="left"/>
        <w:rPr>
          <w:rFonts w:hint="eastAsia" w:eastAsia="仿宋"/>
          <w:sz w:val="28"/>
          <w:szCs w:val="28"/>
          <w:highlight w:val="none"/>
        </w:rPr>
      </w:pPr>
      <w:r>
        <w:rPr>
          <w:rFonts w:hint="eastAsia" w:eastAsia="仿宋"/>
          <w:sz w:val="28"/>
          <w:szCs w:val="28"/>
          <w:highlight w:val="none"/>
          <w:lang w:val="en-US" w:eastAsia="zh-CN"/>
        </w:rPr>
        <w:t>3</w:t>
      </w:r>
      <w:r>
        <w:rPr>
          <w:rFonts w:hint="eastAsia" w:eastAsia="仿宋"/>
          <w:sz w:val="28"/>
          <w:szCs w:val="28"/>
          <w:highlight w:val="none"/>
        </w:rPr>
        <w:t>、由福建省高速公路养护工程有限公司网站（网址：https://www.fjgsyh.com/）最新发布的供应商信用考核结果的通报中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w:t>
      </w:r>
      <w:r>
        <w:rPr>
          <w:rFonts w:hint="eastAsia" w:eastAsia="仿宋"/>
          <w:sz w:val="28"/>
          <w:szCs w:val="28"/>
          <w:highlight w:val="none"/>
          <w:lang w:val="en-US" w:eastAsia="zh-CN"/>
        </w:rPr>
        <w:t>4</w:t>
      </w:r>
      <w:r>
        <w:rPr>
          <w:rFonts w:hint="eastAsia" w:eastAsia="仿宋"/>
          <w:sz w:val="28"/>
          <w:szCs w:val="28"/>
          <w:highlight w:val="none"/>
        </w:rPr>
        <w:t>年</w:t>
      </w:r>
      <w:r>
        <w:rPr>
          <w:rFonts w:hint="eastAsia" w:eastAsia="仿宋"/>
          <w:sz w:val="28"/>
          <w:szCs w:val="28"/>
          <w:highlight w:val="none"/>
          <w:lang w:val="en-US" w:eastAsia="zh-CN"/>
        </w:rPr>
        <w:t>3月19日</w:t>
      </w:r>
      <w:r>
        <w:rPr>
          <w:rFonts w:hint="eastAsia" w:eastAsia="仿宋"/>
          <w:sz w:val="28"/>
          <w:szCs w:val="28"/>
          <w:highlight w:val="none"/>
        </w:rPr>
        <w:t>至202</w:t>
      </w:r>
      <w:r>
        <w:rPr>
          <w:rFonts w:hint="eastAsia" w:eastAsia="仿宋"/>
          <w:sz w:val="28"/>
          <w:szCs w:val="28"/>
          <w:highlight w:val="none"/>
          <w:lang w:val="en-US" w:eastAsia="zh-CN"/>
        </w:rPr>
        <w:t>4</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24</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w:t>
      </w:r>
      <w:r>
        <w:rPr>
          <w:rFonts w:hint="eastAsia" w:eastAsia="仿宋"/>
          <w:sz w:val="28"/>
          <w:szCs w:val="28"/>
          <w:highlight w:val="none"/>
          <w:lang w:val="en-US" w:eastAsia="zh-CN"/>
        </w:rPr>
        <w:t>4</w:t>
      </w:r>
      <w:r>
        <w:rPr>
          <w:rFonts w:hint="eastAsia" w:eastAsia="仿宋"/>
          <w:sz w:val="28"/>
          <w:szCs w:val="28"/>
          <w:highlight w:val="none"/>
        </w:rPr>
        <w:t>年</w:t>
      </w:r>
      <w:r>
        <w:rPr>
          <w:rFonts w:hint="eastAsia" w:eastAsia="仿宋"/>
          <w:sz w:val="28"/>
          <w:szCs w:val="28"/>
          <w:highlight w:val="none"/>
          <w:lang w:val="en-US" w:eastAsia="zh-CN"/>
        </w:rPr>
        <w:t>3月25日10</w:t>
      </w:r>
      <w:r>
        <w:rPr>
          <w:rFonts w:hint="eastAsia" w:eastAsia="仿宋"/>
          <w:sz w:val="28"/>
          <w:szCs w:val="28"/>
          <w:highlight w:val="none"/>
        </w:rPr>
        <w:t>时</w:t>
      </w:r>
      <w:r>
        <w:rPr>
          <w:rFonts w:hint="eastAsia" w:eastAsia="仿宋"/>
          <w:sz w:val="28"/>
          <w:szCs w:val="28"/>
          <w:highlight w:val="none"/>
          <w:lang w:val="en-US" w:eastAsia="zh-CN"/>
        </w:rPr>
        <w:t>0</w:t>
      </w:r>
      <w:r>
        <w:rPr>
          <w:rFonts w:hint="eastAsia" w:eastAsia="仿宋"/>
          <w:sz w:val="28"/>
          <w:szCs w:val="28"/>
          <w:highlight w:val="none"/>
        </w:rPr>
        <w:t>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w:t>
      </w:r>
      <w:r>
        <w:rPr>
          <w:rFonts w:hint="eastAsia" w:eastAsia="仿宋"/>
          <w:b/>
          <w:bCs/>
          <w:sz w:val="28"/>
          <w:szCs w:val="28"/>
          <w:highlight w:val="none"/>
          <w:lang w:val="en-US" w:eastAsia="zh-CN"/>
        </w:rPr>
        <w:t>4</w:t>
      </w:r>
      <w:r>
        <w:rPr>
          <w:rFonts w:hint="eastAsia" w:eastAsia="仿宋"/>
          <w:b/>
          <w:bCs/>
          <w:sz w:val="28"/>
          <w:szCs w:val="28"/>
          <w:highlight w:val="none"/>
        </w:rPr>
        <w:t>年</w:t>
      </w:r>
      <w:r>
        <w:rPr>
          <w:rFonts w:hint="eastAsia" w:eastAsia="仿宋"/>
          <w:b/>
          <w:bCs/>
          <w:sz w:val="28"/>
          <w:szCs w:val="28"/>
          <w:highlight w:val="none"/>
          <w:lang w:val="en-US" w:eastAsia="zh-CN"/>
        </w:rPr>
        <w:t>3月25日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w:t>
      </w:r>
      <w:r>
        <w:rPr>
          <w:rFonts w:hint="eastAsia" w:eastAsia="仿宋"/>
          <w:b/>
          <w:bCs/>
          <w:sz w:val="28"/>
          <w:szCs w:val="28"/>
          <w:highlight w:val="none"/>
          <w:lang w:val="en-US" w:eastAsia="zh-CN"/>
        </w:rPr>
        <w:t>0</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1"/>
          <w:rFonts w:hint="eastAsia" w:eastAsia="仿宋"/>
          <w:sz w:val="28"/>
          <w:szCs w:val="28"/>
          <w:highlight w:val="none"/>
        </w:rPr>
        <w:t>www.fjgsyh.com</w:t>
      </w:r>
      <w:r>
        <w:rPr>
          <w:rStyle w:val="21"/>
          <w:rFonts w:hint="eastAsia" w:eastAsia="仿宋"/>
          <w:color w:val="auto"/>
          <w:sz w:val="28"/>
          <w:szCs w:val="28"/>
          <w:highlight w:val="none"/>
          <w:u w:val="none"/>
        </w:rPr>
        <w:t>）</w:t>
      </w:r>
      <w:r>
        <w:rPr>
          <w:rStyle w:val="21"/>
          <w:rFonts w:eastAsia="仿宋"/>
          <w:color w:val="auto"/>
          <w:sz w:val="28"/>
          <w:szCs w:val="28"/>
          <w:highlight w:val="none"/>
          <w:u w:val="none"/>
        </w:rPr>
        <w:t>。</w:t>
      </w:r>
      <w:r>
        <w:rPr>
          <w:rStyle w:val="21"/>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万元整（¥</w:t>
      </w:r>
      <w:r>
        <w:rPr>
          <w:rFonts w:hint="eastAsia" w:eastAsia="仿宋"/>
          <w:sz w:val="28"/>
          <w:szCs w:val="28"/>
          <w:highlight w:val="none"/>
          <w:lang w:val="en-US" w:eastAsia="zh-CN"/>
        </w:rPr>
        <w:t>10</w:t>
      </w:r>
      <w:r>
        <w:rPr>
          <w:rFonts w:hint="eastAsia" w:eastAsia="仿宋"/>
          <w:sz w:val="28"/>
          <w:szCs w:val="28"/>
          <w:highlight w:val="none"/>
        </w:rPr>
        <w:t>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w:t>
      </w:r>
      <w:r>
        <w:rPr>
          <w:rFonts w:hint="eastAsia" w:eastAsia="仿宋"/>
          <w:sz w:val="28"/>
          <w:szCs w:val="28"/>
          <w:highlight w:val="none"/>
          <w:lang w:val="en-US" w:eastAsia="zh-CN"/>
        </w:rPr>
        <w:t>4</w:t>
      </w:r>
      <w:r>
        <w:rPr>
          <w:rFonts w:hint="eastAsia" w:eastAsia="仿宋"/>
          <w:sz w:val="28"/>
          <w:szCs w:val="28"/>
          <w:highlight w:val="none"/>
        </w:rPr>
        <w:t>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25</w:t>
      </w:r>
      <w:r>
        <w:rPr>
          <w:rFonts w:hint="eastAsia" w:eastAsia="仿宋"/>
          <w:sz w:val="28"/>
          <w:szCs w:val="28"/>
          <w:highlight w:val="none"/>
        </w:rPr>
        <w:t>日1</w:t>
      </w:r>
      <w:r>
        <w:rPr>
          <w:rFonts w:hint="eastAsia" w:eastAsia="仿宋"/>
          <w:sz w:val="28"/>
          <w:szCs w:val="28"/>
          <w:highlight w:val="none"/>
          <w:lang w:val="en-US" w:eastAsia="zh-CN"/>
        </w:rPr>
        <w:t>0</w:t>
      </w:r>
      <w:r>
        <w:rPr>
          <w:rFonts w:hint="eastAsia" w:eastAsia="仿宋"/>
          <w:sz w:val="28"/>
          <w:szCs w:val="28"/>
          <w:highlight w:val="none"/>
        </w:rPr>
        <w:t>：00前缴交，转账备注“</w:t>
      </w:r>
      <w:r>
        <w:rPr>
          <w:rFonts w:hint="eastAsia" w:eastAsia="仿宋"/>
          <w:sz w:val="28"/>
          <w:szCs w:val="28"/>
          <w:highlight w:val="none"/>
          <w:lang w:eastAsia="zh-CN"/>
        </w:rPr>
        <w:t>XM2-2024-LW-002</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rPr>
        <w:t>帐  号：</w:t>
      </w:r>
      <w:r>
        <w:rPr>
          <w:rFonts w:hint="eastAsia" w:eastAsia="仿宋"/>
          <w:sz w:val="28"/>
          <w:szCs w:val="28"/>
          <w:highlight w:val="none"/>
          <w:lang w:val="en-US" w:eastAsia="zh-CN"/>
        </w:rPr>
        <w:t>5919 0210 8610 605</w:t>
      </w:r>
    </w:p>
    <w:p>
      <w:pPr>
        <w:spacing w:line="400" w:lineRule="exact"/>
        <w:ind w:firstLine="560" w:firstLineChars="200"/>
        <w:jc w:val="left"/>
        <w:rPr>
          <w:rFonts w:hint="default" w:eastAsia="仿宋"/>
          <w:highlight w:val="none"/>
          <w:lang w:val="en-US" w:eastAsia="zh-CN"/>
        </w:rPr>
      </w:pPr>
      <w:r>
        <w:rPr>
          <w:rFonts w:hint="eastAsia" w:eastAsia="仿宋"/>
          <w:sz w:val="28"/>
          <w:szCs w:val="28"/>
          <w:highlight w:val="none"/>
        </w:rPr>
        <w:t>开户行：</w:t>
      </w:r>
      <w:r>
        <w:rPr>
          <w:rFonts w:hint="eastAsia" w:ascii="宋体" w:hAnsi="宋体" w:cs="宋体"/>
          <w:kern w:val="0"/>
          <w:sz w:val="24"/>
          <w:highlight w:val="none"/>
          <w:lang w:val="en-US" w:eastAsia="zh-CN"/>
        </w:rPr>
        <w:t>招商银行股份有限公司三明分行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2"/>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2"/>
        <w:rPr>
          <w:rFonts w:hint="eastAsia" w:ascii="仿宋_GB2312" w:hAnsi="宋体" w:eastAsia="仿宋_GB2312"/>
          <w:b/>
          <w:sz w:val="44"/>
          <w:szCs w:val="44"/>
          <w:highlight w:val="none"/>
        </w:rPr>
      </w:pPr>
    </w:p>
    <w:p>
      <w:pPr>
        <w:pStyle w:val="2"/>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hint="eastAsia" w:ascii="仿宋_GB2312" w:hAnsi="宋体" w:eastAsia="仿宋_GB2312"/>
          <w:b/>
          <w:sz w:val="44"/>
          <w:szCs w:val="44"/>
          <w:highlight w:val="none"/>
        </w:rPr>
      </w:pPr>
    </w:p>
    <w:p>
      <w:pPr>
        <w:spacing w:line="600" w:lineRule="exact"/>
        <w:ind w:firstLine="3092" w:firstLineChars="700"/>
        <w:jc w:val="both"/>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5"/>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7"/>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永杭高速公路边坡溜方及排水系统完善工程及龙岩辖区收费站仿真草皮项目</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ascii="Times New Roman" w:hAnsi="Times New Roman"/>
                <w:color w:val="000000"/>
                <w:kern w:val="2"/>
                <w:sz w:val="24"/>
                <w:szCs w:val="24"/>
                <w:highlight w:val="none"/>
                <w:lang w:eastAsia="zh-CN"/>
              </w:rPr>
              <w:t>永杭高速公路</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w:t>
            </w:r>
            <w:r>
              <w:rPr>
                <w:rFonts w:hint="eastAsia"/>
                <w:color w:val="000000"/>
                <w:sz w:val="24"/>
                <w:highlight w:val="none"/>
                <w:lang w:eastAsia="zh-CN"/>
              </w:rPr>
              <w:t>（</w:t>
            </w:r>
            <w:r>
              <w:rPr>
                <w:rFonts w:hint="eastAsia"/>
                <w:color w:val="000000"/>
                <w:sz w:val="24"/>
                <w:highlight w:val="none"/>
                <w:lang w:val="en-US" w:eastAsia="zh-CN"/>
              </w:rPr>
              <w:t>采购人提供的除外）</w:t>
            </w:r>
            <w:r>
              <w:rPr>
                <w:rFonts w:hint="eastAsia"/>
                <w:color w:val="000000"/>
                <w:sz w:val="24"/>
                <w:highlight w:val="none"/>
              </w:rPr>
              <w:t>、机械设备、防护措施等一切投入。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120</w:t>
            </w:r>
            <w:r>
              <w:rPr>
                <w:rFonts w:hint="eastAsia"/>
                <w:color w:val="000000"/>
                <w:sz w:val="24"/>
                <w:highlight w:val="none"/>
                <w:lang w:eastAsia="zh-CN"/>
              </w:rPr>
              <w:t>个日历天</w:t>
            </w:r>
            <w:r>
              <w:rPr>
                <w:rFonts w:hint="eastAsia"/>
                <w:color w:val="000000"/>
                <w:sz w:val="24"/>
                <w:highlight w:val="none"/>
                <w:lang w:val="en-US" w:eastAsia="zh-CN"/>
              </w:rPr>
              <w:t>。</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b/>
                <w:bCs/>
                <w:i w:val="0"/>
                <w:iCs w:val="0"/>
                <w:color w:val="000000"/>
                <w:kern w:val="0"/>
                <w:sz w:val="24"/>
                <w:szCs w:val="24"/>
                <w:u w:val="single"/>
                <w:lang w:val="en-US" w:eastAsia="zh-CN" w:bidi="ar"/>
              </w:rPr>
              <w:t>1940762</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color w:val="000000"/>
                <w:highlight w:val="none"/>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eastAsia="宋体"/>
                <w:sz w:val="24"/>
                <w:lang w:val="en-US" w:eastAsia="zh-CN"/>
              </w:rPr>
              <w:t>业绩证明材料、</w:t>
            </w:r>
            <w:r>
              <w:rPr>
                <w:rFonts w:hint="eastAsia" w:ascii="宋体" w:hAnsi="宋体" w:eastAsia="宋体" w:cs="宋体"/>
                <w:sz w:val="24"/>
                <w:lang w:val="en-US" w:eastAsia="zh-CN"/>
              </w:rPr>
              <w:t>⑥</w:t>
            </w:r>
            <w:r>
              <w:rPr>
                <w:sz w:val="24"/>
              </w:rPr>
              <w:t>报价保证金交纳证明</w:t>
            </w:r>
            <w:r>
              <w:rPr>
                <w:rFonts w:hint="eastAsia"/>
                <w:sz w:val="24"/>
              </w:rPr>
              <w:t>、</w:t>
            </w:r>
            <w:r>
              <w:rPr>
                <w:rFonts w:hint="eastAsia" w:ascii="宋体" w:hAnsi="宋体" w:eastAsia="宋体" w:cs="宋体"/>
                <w:sz w:val="24"/>
              </w:rPr>
              <w:t>⑦</w:t>
            </w:r>
            <w:r>
              <w:rPr>
                <w:rFonts w:hint="eastAsia"/>
                <w:sz w:val="24"/>
              </w:rPr>
              <w:t>退还谈判保证金承诺书。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年</w:t>
            </w:r>
            <w:r>
              <w:rPr>
                <w:rFonts w:hint="eastAsia" w:ascii="宋体" w:hAnsi="宋体" w:cs="宋体"/>
                <w:color w:val="000000"/>
                <w:sz w:val="24"/>
                <w:highlight w:val="none"/>
                <w:u w:val="single"/>
                <w:lang w:val="en-US" w:eastAsia="zh-CN"/>
              </w:rPr>
              <w:t>3月25日10</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3</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widowControl/>
              <w:jc w:val="left"/>
              <w:rPr>
                <w:rFonts w:hint="eastAsia" w:eastAsia="宋体"/>
                <w:b/>
                <w:sz w:val="24"/>
              </w:rPr>
            </w:pPr>
            <w:r>
              <w:rPr>
                <w:rFonts w:hint="eastAsia" w:eastAsia="宋体"/>
                <w:b/>
                <w:sz w:val="24"/>
              </w:rPr>
              <w:t>结算支付</w:t>
            </w:r>
          </w:p>
          <w:p>
            <w:pPr>
              <w:widowControl/>
              <w:jc w:val="left"/>
              <w:rPr>
                <w:rFonts w:hint="eastAsia" w:eastAsia="宋体"/>
                <w:b/>
                <w:sz w:val="24"/>
              </w:rPr>
            </w:pPr>
            <w:r>
              <w:rPr>
                <w:rFonts w:hint="eastAsia" w:eastAsia="宋体"/>
                <w:b/>
                <w:sz w:val="24"/>
              </w:rPr>
              <w:t>1.待工程项目验收合格后，</w:t>
            </w:r>
            <w:r>
              <w:rPr>
                <w:rFonts w:hint="eastAsia" w:eastAsia="宋体"/>
                <w:b/>
                <w:sz w:val="24"/>
                <w:lang w:val="en-US" w:eastAsia="zh-CN"/>
              </w:rPr>
              <w:t>进行一次性结算，</w:t>
            </w:r>
            <w:r>
              <w:rPr>
                <w:rFonts w:hint="eastAsia" w:eastAsia="宋体"/>
                <w:b/>
                <w:sz w:val="24"/>
              </w:rPr>
              <w:t>成交人提出工程最终结算并将有关资料送交采购人。采购人自接到上述资料应及时进行审核，双方按最终结算扣除质量保证金后</w:t>
            </w:r>
            <w:r>
              <w:rPr>
                <w:rFonts w:hint="eastAsia" w:eastAsia="宋体"/>
                <w:b/>
                <w:sz w:val="24"/>
                <w:lang w:val="en-US" w:eastAsia="zh-CN"/>
              </w:rPr>
              <w:t>支付工程</w:t>
            </w:r>
            <w:r>
              <w:rPr>
                <w:rFonts w:hint="eastAsia" w:eastAsia="宋体"/>
                <w:b/>
                <w:sz w:val="24"/>
              </w:rPr>
              <w:t>款。</w:t>
            </w:r>
          </w:p>
          <w:p>
            <w:pPr>
              <w:widowControl/>
              <w:jc w:val="left"/>
              <w:rPr>
                <w:rFonts w:hint="eastAsia" w:eastAsia="宋体"/>
                <w:b/>
                <w:sz w:val="24"/>
              </w:rPr>
            </w:pPr>
            <w:r>
              <w:rPr>
                <w:rFonts w:hint="eastAsia" w:eastAsia="宋体"/>
                <w:b/>
                <w:sz w:val="24"/>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eastAsia="宋体"/>
                <w:b/>
                <w:sz w:val="24"/>
              </w:rPr>
            </w:pPr>
            <w:r>
              <w:rPr>
                <w:rFonts w:hint="eastAsia" w:eastAsia="宋体"/>
                <w:b/>
                <w:sz w:val="24"/>
              </w:rPr>
              <w:t>3.根据双方签认的结算价款，成交人应提供正式的可抵扣的增值税专用发票，采购人收到成交人开具的正规增值税专用发票后，采购人采用银行转账的方式支付给成交人。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eastAsia="宋体"/>
                <w:b/>
                <w:sz w:val="24"/>
              </w:rPr>
            </w:pPr>
            <w:r>
              <w:rPr>
                <w:rFonts w:hint="eastAsia" w:eastAsia="宋体"/>
                <w:b/>
                <w:sz w:val="24"/>
              </w:rPr>
              <w:t>4.项目业主未支付款项的，采购人有权不向成交人支付相应结算价款，并不视为采购人违约。上述结算条件为必要前提，若不满足任一条件的，顺延结算支付。</w:t>
            </w:r>
          </w:p>
          <w:p>
            <w:pPr>
              <w:widowControl/>
              <w:jc w:val="left"/>
            </w:pPr>
            <w:r>
              <w:rPr>
                <w:rFonts w:hint="eastAsia" w:eastAsia="宋体"/>
                <w:b/>
                <w:sz w:val="24"/>
              </w:rPr>
              <w:t>5.若国家税收政策另有调整，则依最新税收政策据实结算。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eastAsia="宋体"/>
                <w:b/>
                <w:bCs/>
                <w:sz w:val="24"/>
                <w:highlight w:val="none"/>
              </w:rPr>
              <w:t>除采购人提供材料</w:t>
            </w:r>
            <w:r>
              <w:rPr>
                <w:rFonts w:hint="eastAsia" w:hAnsi="宋体" w:eastAsia="宋体"/>
                <w:b/>
                <w:bCs/>
                <w:sz w:val="24"/>
                <w:highlight w:val="none"/>
                <w:lang w:eastAsia="zh-CN"/>
              </w:rPr>
              <w:t>（锚杆钢筋）</w:t>
            </w:r>
            <w:r>
              <w:rPr>
                <w:rFonts w:hint="eastAsia" w:hAnsi="宋体" w:eastAsia="宋体"/>
                <w:b/>
                <w:bCs/>
                <w:sz w:val="24"/>
                <w:highlight w:val="none"/>
              </w:rPr>
              <w:t>外</w:t>
            </w:r>
            <w:r>
              <w:rPr>
                <w:rFonts w:hint="eastAsia" w:hAnsi="宋体" w:eastAsia="宋体"/>
                <w:b/>
                <w:bCs/>
                <w:sz w:val="24"/>
                <w:highlight w:val="none"/>
                <w:lang w:eastAsia="zh-CN"/>
              </w:rPr>
              <w:t>，</w:t>
            </w:r>
            <w:r>
              <w:rPr>
                <w:rFonts w:hint="eastAsia" w:hAnsi="宋体" w:eastAsia="宋体"/>
                <w:b/>
                <w:bCs/>
                <w:sz w:val="24"/>
                <w:highlight w:val="none"/>
                <w:lang w:val="en-US" w:eastAsia="zh-CN"/>
              </w:rPr>
              <w:t>其余为</w:t>
            </w:r>
            <w:r>
              <w:rPr>
                <w:rFonts w:hint="eastAsia" w:hAnsi="宋体" w:eastAsia="宋体"/>
                <w:b/>
                <w:bCs/>
                <w:sz w:val="24"/>
                <w:highlight w:val="none"/>
              </w:rPr>
              <w:t>完成本项</w:t>
            </w:r>
            <w:r>
              <w:rPr>
                <w:rFonts w:hint="eastAsia" w:hAnsi="宋体"/>
                <w:b/>
                <w:bCs/>
                <w:sz w:val="24"/>
                <w:highlight w:val="none"/>
              </w:rPr>
              <w:t>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int="eastAsia" w:hAnsi="宋体"/>
                <w:b/>
                <w:bCs/>
                <w:sz w:val="24"/>
                <w:lang w:val="en-US" w:eastAsia="zh-CN"/>
              </w:rPr>
              <w:t>2</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7"/>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18"/>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38"/>
                <w:rFonts w:hint="default"/>
                <w:lang w:bidi="ar"/>
              </w:rPr>
              <w:t xml:space="preserve">4  </w:t>
            </w:r>
            <w:r>
              <w:rPr>
                <w:rStyle w:val="39"/>
                <w:rFonts w:hint="default"/>
                <w:lang w:bidi="ar"/>
              </w:rPr>
              <w:t xml:space="preserve">           </w:t>
            </w:r>
            <w:r>
              <w:rPr>
                <w:rStyle w:val="39"/>
                <w:rFonts w:hint="default"/>
                <w:sz w:val="28"/>
                <w:szCs w:val="28"/>
                <w:lang w:bidi="ar"/>
              </w:rPr>
              <w:t xml:space="preserve">      </w:t>
            </w:r>
            <w:r>
              <w:rPr>
                <w:rStyle w:val="40"/>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w:t>
            </w:r>
            <w:r>
              <w:rPr>
                <w:rStyle w:val="41"/>
                <w:lang w:bidi="ar"/>
              </w:rPr>
              <w:t xml:space="preserve"> </w:t>
            </w:r>
            <w:r>
              <w:rPr>
                <w:rStyle w:val="28"/>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1"/>
                <w:lang w:bidi="ar"/>
              </w:rPr>
              <w:t>1</w:t>
            </w:r>
            <w:r>
              <w:rPr>
                <w:rStyle w:val="28"/>
                <w:rFonts w:hint="default"/>
                <w:lang w:bidi="ar"/>
              </w:rPr>
              <w:t>人扣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28"/>
                <w:rFonts w:hint="default"/>
                <w:lang w:bidi="ar"/>
              </w:rPr>
              <w:t>、施工协作供应商的机械设备应按投标书中的承诺进场，满足现场施工要求。如果进场设备未能按时到达、短缺或未经总包方同意擅自调离项目的，大型设备每台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3</w:t>
            </w:r>
            <w:r>
              <w:rPr>
                <w:rStyle w:val="28"/>
                <w:rFonts w:hint="default"/>
                <w:lang w:bidi="ar"/>
              </w:rPr>
              <w:t>分，小型设备每台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1</w:t>
            </w:r>
            <w:r>
              <w:rPr>
                <w:rStyle w:val="28"/>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、按时缴纳履约保证金，每延迟</w:t>
            </w:r>
            <w:r>
              <w:rPr>
                <w:rStyle w:val="41"/>
                <w:lang w:bidi="ar"/>
              </w:rPr>
              <w:t>1</w:t>
            </w:r>
            <w:r>
              <w:rPr>
                <w:rStyle w:val="28"/>
                <w:rFonts w:hint="default"/>
                <w:lang w:bidi="ar"/>
              </w:rPr>
              <w:t>天扣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、不服从业主、监理和项目技术人员管理，扣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、现场施工场地不规范，不满足文明施工要求，扣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、不配合项目经理部召开会议、培训等管理工作，扣</w:t>
            </w:r>
            <w:r>
              <w:rPr>
                <w:rStyle w:val="41"/>
                <w:lang w:bidi="ar"/>
              </w:rPr>
              <w:t>2</w:t>
            </w:r>
            <w:r>
              <w:rPr>
                <w:rStyle w:val="28"/>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、施工协作供应商应遵守省养护公司出台的相关规定，保障施工安全，如果发现违反相关规定每次扣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 xml:space="preserve"> 2</w:t>
            </w:r>
            <w:r>
              <w:rPr>
                <w:rStyle w:val="28"/>
                <w:rFonts w:hint="default"/>
                <w:lang w:bidi="ar"/>
              </w:rPr>
              <w:t>、特种工作人员，无证上岗的，每人扣</w:t>
            </w:r>
            <w:r>
              <w:rPr>
                <w:rStyle w:val="41"/>
                <w:lang w:bidi="ar"/>
              </w:rPr>
              <w:t>2</w:t>
            </w:r>
            <w:r>
              <w:rPr>
                <w:rStyle w:val="28"/>
                <w:rFonts w:hint="default"/>
                <w:lang w:bidi="ar"/>
              </w:rPr>
              <w:t>分，并责令更换无证人员。</w:t>
            </w:r>
            <w:r>
              <w:rPr>
                <w:rStyle w:val="41"/>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、施工协作供应商人员有如下情况之一者，每人每次扣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违章指挥，强令施工人员违章作业者。</w:t>
            </w:r>
            <w:r>
              <w:rPr>
                <w:rStyle w:val="41"/>
                <w:lang w:bidi="ar"/>
              </w:rPr>
              <w:br w:type="textWrapping"/>
            </w:r>
            <w:r>
              <w:rPr>
                <w:rStyle w:val="41"/>
                <w:lang w:bidi="ar"/>
              </w:rPr>
              <w:t>2)</w:t>
            </w:r>
            <w:r>
              <w:rPr>
                <w:rStyle w:val="28"/>
                <w:rFonts w:hint="default"/>
                <w:lang w:bidi="ar"/>
              </w:rPr>
              <w:t>不遵守安全生产技术操作规程，擅离职守者。</w:t>
            </w:r>
            <w:r>
              <w:rPr>
                <w:rStyle w:val="41"/>
                <w:lang w:bidi="ar"/>
              </w:rPr>
              <w:br w:type="textWrapping"/>
            </w:r>
            <w:r>
              <w:rPr>
                <w:rStyle w:val="41"/>
                <w:lang w:bidi="ar"/>
              </w:rPr>
              <w:t>3)</w:t>
            </w:r>
            <w:r>
              <w:rPr>
                <w:rStyle w:val="28"/>
                <w:rFonts w:hint="default"/>
                <w:lang w:bidi="ar"/>
              </w:rPr>
              <w:t>违反劳动纪律，不坚守工作岗位，擅离职守者。</w:t>
            </w:r>
            <w:r>
              <w:rPr>
                <w:rStyle w:val="41"/>
                <w:lang w:bidi="ar"/>
              </w:rPr>
              <w:br w:type="textWrapping"/>
            </w:r>
            <w:r>
              <w:rPr>
                <w:rStyle w:val="41"/>
                <w:lang w:bidi="ar"/>
              </w:rPr>
              <w:t>4)</w:t>
            </w:r>
            <w:r>
              <w:rPr>
                <w:rStyle w:val="28"/>
                <w:rFonts w:hint="default"/>
                <w:lang w:bidi="ar"/>
              </w:rPr>
              <w:t>发现事故隐患苗头，末采取积极有效措施及时整改者。</w:t>
            </w:r>
            <w:r>
              <w:rPr>
                <w:rStyle w:val="41"/>
                <w:lang w:bidi="ar"/>
              </w:rPr>
              <w:br w:type="textWrapping"/>
            </w:r>
            <w:r>
              <w:rPr>
                <w:rStyle w:val="41"/>
                <w:lang w:bidi="ar"/>
              </w:rPr>
              <w:t>5)</w:t>
            </w:r>
            <w:r>
              <w:rPr>
                <w:rStyle w:val="28"/>
                <w:rFonts w:hint="default"/>
                <w:lang w:bidi="ar"/>
              </w:rPr>
              <w:t>发生事故隐瞒不报告，或隐瞒事故真相，或末保护好事故现场者。</w:t>
            </w:r>
            <w:r>
              <w:rPr>
                <w:rStyle w:val="41"/>
                <w:lang w:bidi="ar"/>
              </w:rPr>
              <w:br w:type="textWrapping"/>
            </w:r>
            <w:r>
              <w:rPr>
                <w:rStyle w:val="41"/>
                <w:lang w:bidi="ar"/>
              </w:rPr>
              <w:t>6)</w:t>
            </w:r>
            <w:r>
              <w:rPr>
                <w:rStyle w:val="28"/>
                <w:rFonts w:hint="default"/>
                <w:lang w:bidi="ar"/>
              </w:rPr>
              <w:t>采购安全生产用品不符合使用质量要求者。</w:t>
            </w:r>
            <w:r>
              <w:rPr>
                <w:rStyle w:val="41"/>
                <w:lang w:bidi="ar"/>
              </w:rPr>
              <w:br w:type="textWrapping"/>
            </w:r>
            <w:r>
              <w:rPr>
                <w:rStyle w:val="41"/>
                <w:lang w:bidi="ar"/>
              </w:rPr>
              <w:t>7)</w:t>
            </w:r>
            <w:r>
              <w:rPr>
                <w:rStyle w:val="28"/>
                <w:rFonts w:hint="default"/>
                <w:lang w:bidi="ar"/>
              </w:rPr>
              <w:t>对上级有关文件精神及安全会议内容不作及时传达落实，造成安全生产工作脱节者。</w:t>
            </w:r>
            <w:r>
              <w:rPr>
                <w:rStyle w:val="41"/>
                <w:lang w:bidi="ar"/>
              </w:rPr>
              <w:br w:type="textWrapping"/>
            </w:r>
            <w:r>
              <w:rPr>
                <w:rStyle w:val="41"/>
                <w:lang w:bidi="ar"/>
              </w:rPr>
              <w:t>8)</w:t>
            </w:r>
            <w:r>
              <w:rPr>
                <w:rStyle w:val="28"/>
                <w:rFonts w:hint="default"/>
                <w:lang w:bidi="ar"/>
              </w:rPr>
              <w:t>无证驾驶、酒后开车，疲劳驾驶机车者。</w:t>
            </w:r>
            <w:r>
              <w:rPr>
                <w:rStyle w:val="41"/>
                <w:lang w:bidi="ar"/>
              </w:rPr>
              <w:br w:type="textWrapping"/>
            </w:r>
            <w:r>
              <w:rPr>
                <w:rStyle w:val="41"/>
                <w:lang w:bidi="ar"/>
              </w:rPr>
              <w:t>9)</w:t>
            </w:r>
            <w:r>
              <w:rPr>
                <w:rStyle w:val="28"/>
                <w:rFonts w:hint="default"/>
                <w:lang w:bidi="ar"/>
              </w:rPr>
              <w:t>上路未配带安全防护器</w:t>
            </w:r>
            <w:r>
              <w:rPr>
                <w:rStyle w:val="41"/>
                <w:lang w:bidi="ar"/>
              </w:rPr>
              <w:t>(</w:t>
            </w:r>
            <w:r>
              <w:rPr>
                <w:rStyle w:val="28"/>
                <w:rFonts w:hint="default"/>
                <w:lang w:bidi="ar"/>
              </w:rPr>
              <w:t>包括安全标志服</w:t>
            </w:r>
            <w:r>
              <w:rPr>
                <w:rStyle w:val="41"/>
                <w:lang w:bidi="ar"/>
              </w:rPr>
              <w:t>\</w:t>
            </w:r>
            <w:r>
              <w:rPr>
                <w:rStyle w:val="28"/>
                <w:rFonts w:hint="default"/>
                <w:lang w:bidi="ar"/>
              </w:rPr>
              <w:t>反光背心等</w:t>
            </w:r>
            <w:r>
              <w:rPr>
                <w:rStyle w:val="41"/>
                <w:lang w:bidi="ar"/>
              </w:rPr>
              <w:t>)</w:t>
            </w:r>
            <w:r>
              <w:rPr>
                <w:rStyle w:val="28"/>
                <w:rFonts w:hint="default"/>
                <w:lang w:bidi="ar"/>
              </w:rPr>
              <w:t>具者。专业分包单位有如下情况之一者，每人每次扣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）未进行安全培训教育的。</w:t>
            </w:r>
            <w:r>
              <w:rPr>
                <w:rStyle w:val="41"/>
                <w:lang w:bidi="ar"/>
              </w:rPr>
              <w:br w:type="textWrapping"/>
            </w:r>
            <w:r>
              <w:rPr>
                <w:rStyle w:val="41"/>
                <w:lang w:bidi="ar"/>
              </w:rPr>
              <w:t>2</w:t>
            </w:r>
            <w:r>
              <w:rPr>
                <w:rStyle w:val="28"/>
                <w:rFonts w:hint="default"/>
                <w:lang w:bidi="ar"/>
              </w:rPr>
              <w:t>）未与各班组签订安全责任书的。</w:t>
            </w:r>
            <w:r>
              <w:rPr>
                <w:rStyle w:val="41"/>
                <w:lang w:bidi="ar"/>
              </w:rPr>
              <w:br w:type="textWrapping"/>
            </w:r>
            <w:r>
              <w:rPr>
                <w:rStyle w:val="41"/>
                <w:lang w:bidi="ar"/>
              </w:rPr>
              <w:t>3</w:t>
            </w:r>
            <w:r>
              <w:rPr>
                <w:rStyle w:val="28"/>
                <w:rFonts w:hint="default"/>
                <w:lang w:bidi="ar"/>
              </w:rPr>
              <w:t>）未召开安全生产例会的。</w:t>
            </w:r>
            <w:r>
              <w:rPr>
                <w:rStyle w:val="41"/>
                <w:lang w:bidi="ar"/>
              </w:rPr>
              <w:br w:type="textWrapping"/>
            </w:r>
            <w:r>
              <w:rPr>
                <w:rStyle w:val="41"/>
                <w:lang w:bidi="ar"/>
              </w:rPr>
              <w:t>4</w:t>
            </w:r>
            <w:r>
              <w:rPr>
                <w:rStyle w:val="28"/>
                <w:rFonts w:hint="default"/>
                <w:lang w:bidi="ar"/>
              </w:rPr>
              <w:t>）未按规定进行安全生产检查，落实安全责任制的。</w:t>
            </w:r>
            <w:r>
              <w:rPr>
                <w:rStyle w:val="41"/>
                <w:lang w:bidi="ar"/>
              </w:rPr>
              <w:t xml:space="preserve">                                                                          </w:t>
            </w:r>
            <w:r>
              <w:rPr>
                <w:rStyle w:val="41"/>
                <w:lang w:bidi="ar"/>
              </w:rPr>
              <w:br w:type="textWrapping"/>
            </w:r>
            <w:r>
              <w:rPr>
                <w:rStyle w:val="41"/>
                <w:lang w:bidi="ar"/>
              </w:rPr>
              <w:t>5</w:t>
            </w:r>
            <w:r>
              <w:rPr>
                <w:rStyle w:val="28"/>
                <w:rFonts w:hint="default"/>
                <w:lang w:bidi="ar"/>
              </w:rPr>
              <w:t>）施工现场</w:t>
            </w:r>
            <w:r>
              <w:rPr>
                <w:rStyle w:val="41"/>
                <w:lang w:bidi="ar"/>
              </w:rPr>
              <w:t>(</w:t>
            </w:r>
            <w:r>
              <w:rPr>
                <w:rStyle w:val="28"/>
                <w:rFonts w:hint="default"/>
                <w:lang w:bidi="ar"/>
              </w:rPr>
              <w:t>交叉路口</w:t>
            </w:r>
            <w:r>
              <w:rPr>
                <w:rStyle w:val="41"/>
                <w:lang w:bidi="ar"/>
              </w:rPr>
              <w:t>)</w:t>
            </w:r>
            <w:r>
              <w:rPr>
                <w:rStyle w:val="28"/>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、如发现打架、闹事、偷盗、吸毒的人员，每次扣</w:t>
            </w:r>
            <w:r>
              <w:rPr>
                <w:rStyle w:val="41"/>
                <w:lang w:bidi="ar"/>
              </w:rPr>
              <w:t>5</w:t>
            </w:r>
            <w:r>
              <w:rPr>
                <w:rStyle w:val="28"/>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28"/>
                <w:rFonts w:hint="default"/>
                <w:lang w:bidi="ar"/>
              </w:rPr>
              <w:t>、机械设备停放、材料堆放不符合规定每次扣</w:t>
            </w:r>
            <w:r>
              <w:rPr>
                <w:rStyle w:val="41"/>
                <w:lang w:bidi="ar"/>
              </w:rPr>
              <w:t>1</w:t>
            </w:r>
            <w:r>
              <w:rPr>
                <w:rStyle w:val="28"/>
                <w:rFonts w:hint="default"/>
                <w:lang w:bidi="ar"/>
              </w:rPr>
              <w:t>分、垃圾清理未及时清理</w:t>
            </w:r>
            <w:r>
              <w:rPr>
                <w:rStyle w:val="41"/>
                <w:lang w:bidi="ar"/>
              </w:rPr>
              <w:t>1</w:t>
            </w:r>
            <w:r>
              <w:rPr>
                <w:rStyle w:val="28"/>
                <w:rFonts w:hint="default"/>
                <w:lang w:bidi="ar"/>
              </w:rPr>
              <w:t>次扣</w:t>
            </w:r>
            <w:r>
              <w:rPr>
                <w:rStyle w:val="41"/>
                <w:lang w:bidi="ar"/>
              </w:rPr>
              <w:t>1</w:t>
            </w:r>
            <w:r>
              <w:rPr>
                <w:rStyle w:val="28"/>
                <w:rFonts w:hint="default"/>
                <w:lang w:bidi="ar"/>
              </w:rPr>
              <w:t>分，乱丢乱弃垃圾垃圾每次扣</w:t>
            </w:r>
            <w:r>
              <w:rPr>
                <w:rStyle w:val="41"/>
                <w:lang w:bidi="ar"/>
              </w:rPr>
              <w:t>1</w:t>
            </w:r>
            <w:r>
              <w:rPr>
                <w:rStyle w:val="28"/>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1"/>
                <w:lang w:bidi="ar"/>
              </w:rPr>
              <w:t>3</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7</w:t>
            </w:r>
            <w:r>
              <w:rPr>
                <w:rStyle w:val="28"/>
                <w:rFonts w:hint="default"/>
                <w:lang w:bidi="ar"/>
              </w:rPr>
              <w:t>、由于班组自身原因发生安全事故，本表得分为</w:t>
            </w:r>
            <w:r>
              <w:rPr>
                <w:rStyle w:val="41"/>
                <w:lang w:bidi="ar"/>
              </w:rPr>
              <w:t>0</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28"/>
                <w:rFonts w:hint="default"/>
                <w:lang w:bidi="ar"/>
              </w:rPr>
              <w:t>、施工协作供应商未办理人身意外保险的，除责令限期办理外，扣</w:t>
            </w:r>
            <w:r>
              <w:rPr>
                <w:rStyle w:val="41"/>
                <w:lang w:bidi="ar"/>
              </w:rPr>
              <w:t>3</w:t>
            </w:r>
            <w:r>
              <w:rPr>
                <w:rStyle w:val="28"/>
                <w:rFonts w:hint="default"/>
                <w:lang w:bidi="ar"/>
              </w:rPr>
              <w:t>分。逾期不办理，由总包方强制代为办理，费用从正常支付款项中扣回，并处以同等金额的违约金，并扣</w:t>
            </w:r>
            <w:r>
              <w:rPr>
                <w:rStyle w:val="41"/>
                <w:lang w:bidi="ar"/>
              </w:rPr>
              <w:t>5</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、施工协作供应商应遵守养护公司出台的《沥青路面养护工程施工标准化指南》进行施工，保障施工质量，如果发现违反相关规定每次扣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5.</w:t>
            </w:r>
            <w:r>
              <w:rPr>
                <w:rStyle w:val="28"/>
                <w:rFonts w:hint="default"/>
                <w:lang w:bidi="ar"/>
              </w:rPr>
              <w:t>每个施工现场必须有管理人员（带班人员）在场把关，每缺</w:t>
            </w:r>
            <w:r>
              <w:rPr>
                <w:rStyle w:val="41"/>
                <w:lang w:bidi="ar"/>
              </w:rPr>
              <w:t>1</w:t>
            </w:r>
            <w:r>
              <w:rPr>
                <w:rStyle w:val="28"/>
                <w:rFonts w:hint="default"/>
                <w:lang w:bidi="ar"/>
              </w:rPr>
              <w:t>人</w:t>
            </w:r>
            <w:r>
              <w:rPr>
                <w:rStyle w:val="41"/>
                <w:lang w:bidi="ar"/>
              </w:rPr>
              <w:t>.</w:t>
            </w:r>
            <w:r>
              <w:rPr>
                <w:rStyle w:val="28"/>
                <w:rFonts w:hint="default"/>
                <w:lang w:bidi="ar"/>
              </w:rPr>
              <w:t>次扣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、能及时支付农民工工资，未出现投诉、农民工聚众闹事等现象的，本项不扣分；</w:t>
            </w:r>
            <w:r>
              <w:rPr>
                <w:rStyle w:val="41"/>
                <w:lang w:bidi="ar"/>
              </w:rPr>
              <w:t xml:space="preserve">                                          </w:t>
            </w:r>
            <w:r>
              <w:rPr>
                <w:rStyle w:val="41"/>
                <w:lang w:bidi="ar"/>
              </w:rPr>
              <w:br w:type="textWrapping"/>
            </w:r>
            <w:r>
              <w:rPr>
                <w:rStyle w:val="41"/>
                <w:lang w:bidi="ar"/>
              </w:rPr>
              <w:t>2</w:t>
            </w:r>
            <w:r>
              <w:rPr>
                <w:rStyle w:val="28"/>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28"/>
                <w:rFonts w:hint="default"/>
                <w:lang w:bidi="ar"/>
              </w:rPr>
              <w:t>受业主或监理通报批评的，一次扣</w:t>
            </w:r>
            <w:r>
              <w:rPr>
                <w:rStyle w:val="41"/>
                <w:lang w:bidi="ar"/>
              </w:rPr>
              <w:t>2</w:t>
            </w:r>
            <w:r>
              <w:rPr>
                <w:rStyle w:val="28"/>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4"/>
                <w:rFonts w:hint="default"/>
                <w:lang w:bidi="ar"/>
              </w:rPr>
              <w:t>廉</w:t>
            </w:r>
            <w:r>
              <w:rPr>
                <w:rStyle w:val="42"/>
                <w:lang w:bidi="ar"/>
              </w:rPr>
              <w:t xml:space="preserve">   </w:t>
            </w:r>
            <w:r>
              <w:rPr>
                <w:rStyle w:val="34"/>
                <w:rFonts w:hint="default"/>
                <w:lang w:bidi="ar"/>
              </w:rPr>
              <w:t>政</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、出现廉政问题，造成后果，本项不得分</w:t>
            </w:r>
            <w:r>
              <w:rPr>
                <w:rStyle w:val="41"/>
                <w:lang w:bidi="ar"/>
              </w:rPr>
              <w:t>(</w:t>
            </w:r>
            <w:r>
              <w:rPr>
                <w:rStyle w:val="28"/>
                <w:rFonts w:hint="default"/>
                <w:lang w:bidi="ar"/>
              </w:rPr>
              <w:t>本次考核为</w:t>
            </w:r>
            <w:r>
              <w:rPr>
                <w:rStyle w:val="41"/>
                <w:lang w:bidi="ar"/>
              </w:rPr>
              <w:t>0</w:t>
            </w:r>
            <w:r>
              <w:rPr>
                <w:rStyle w:val="28"/>
                <w:rFonts w:hint="default"/>
                <w:lang w:bidi="ar"/>
              </w:rPr>
              <w:t>分</w:t>
            </w:r>
            <w:r>
              <w:rPr>
                <w:rStyle w:val="41"/>
                <w:lang w:bidi="ar"/>
              </w:rPr>
              <w:t>)</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、购买或领取竞标文件，中间过程确认要进行竞标又未进行竞标的，一次扣</w:t>
            </w:r>
            <w:r>
              <w:rPr>
                <w:rStyle w:val="41"/>
                <w:lang w:bidi="ar"/>
              </w:rPr>
              <w:t>3</w:t>
            </w:r>
            <w:r>
              <w:rPr>
                <w:rStyle w:val="28"/>
                <w:rFonts w:hint="default"/>
                <w:lang w:bidi="ar"/>
              </w:rPr>
              <w:t>分；</w:t>
            </w:r>
            <w:r>
              <w:rPr>
                <w:rStyle w:val="41"/>
                <w:lang w:bidi="ar"/>
              </w:rPr>
              <w:t xml:space="preserve"> </w:t>
            </w:r>
            <w:r>
              <w:rPr>
                <w:rStyle w:val="41"/>
                <w:lang w:bidi="ar"/>
              </w:rPr>
              <w:br w:type="textWrapping"/>
            </w:r>
            <w:r>
              <w:rPr>
                <w:rStyle w:val="41"/>
                <w:lang w:bidi="ar"/>
              </w:rPr>
              <w:t>2</w:t>
            </w:r>
            <w:r>
              <w:rPr>
                <w:rStyle w:val="28"/>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现场管理考评                                                       负责人：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审核：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993"/>
          <w:tab w:val="left" w:pos="1134"/>
        </w:tabs>
        <w:snapToGrid w:val="0"/>
        <w:jc w:val="center"/>
        <w:outlineLvl w:val="1"/>
        <w:rPr>
          <w:rFonts w:hint="default" w:ascii="仿宋_GB2312" w:eastAsia="仿宋_GB2312"/>
          <w:b/>
          <w:sz w:val="30"/>
          <w:szCs w:val="30"/>
          <w:lang w:val="en-US" w:eastAsia="zh-CN"/>
        </w:rPr>
      </w:pPr>
      <w:r>
        <w:rPr>
          <w:rFonts w:hint="eastAsia" w:ascii="仿宋_GB2312" w:eastAsia="仿宋_GB2312"/>
          <w:b/>
          <w:sz w:val="30"/>
          <w:szCs w:val="30"/>
        </w:rPr>
        <w:t>附表2  成交人应提供的</w:t>
      </w:r>
      <w:r>
        <w:rPr>
          <w:rFonts w:hint="eastAsia" w:ascii="仿宋_GB2312" w:eastAsia="仿宋_GB2312"/>
          <w:b/>
          <w:sz w:val="30"/>
          <w:szCs w:val="30"/>
          <w:lang w:val="en-US" w:eastAsia="zh-CN"/>
        </w:rPr>
        <w:t>施工</w:t>
      </w:r>
      <w:r>
        <w:rPr>
          <w:rFonts w:hint="eastAsia" w:ascii="仿宋_GB2312" w:eastAsia="仿宋_GB2312"/>
          <w:b/>
          <w:sz w:val="30"/>
          <w:szCs w:val="30"/>
        </w:rPr>
        <w:t>人员表</w:t>
      </w:r>
      <w:r>
        <w:rPr>
          <w:rFonts w:hint="eastAsia" w:ascii="仿宋_GB2312" w:eastAsia="仿宋_GB2312"/>
          <w:b/>
          <w:sz w:val="30"/>
          <w:szCs w:val="30"/>
          <w:lang w:eastAsia="zh-CN"/>
        </w:rPr>
        <w:t>（</w:t>
      </w:r>
      <w:r>
        <w:rPr>
          <w:rFonts w:hint="eastAsia" w:ascii="仿宋_GB2312" w:eastAsia="仿宋_GB2312"/>
          <w:b/>
          <w:sz w:val="30"/>
          <w:szCs w:val="30"/>
          <w:lang w:val="en-US" w:eastAsia="zh-CN"/>
        </w:rPr>
        <w:t>一个作业面最低要求）</w:t>
      </w:r>
    </w:p>
    <w:tbl>
      <w:tblPr>
        <w:tblStyle w:val="1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序号</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职务（工种）</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人数</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具体要求</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现场负责人</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负责现场管理</w:t>
            </w:r>
            <w:r>
              <w:rPr>
                <w:rFonts w:hint="eastAsia"/>
                <w:szCs w:val="21"/>
              </w:rPr>
              <w:t>、施工</w:t>
            </w:r>
            <w:r>
              <w:rPr>
                <w:szCs w:val="21"/>
              </w:rPr>
              <w:t>协调</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2</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rFonts w:hint="eastAsia"/>
                <w:szCs w:val="21"/>
              </w:rPr>
              <w:t>技术</w:t>
            </w:r>
            <w:r>
              <w:rPr>
                <w:rFonts w:hint="eastAsia"/>
                <w:szCs w:val="21"/>
                <w:lang w:val="en-US" w:eastAsia="zh-CN"/>
              </w:rPr>
              <w:t>工</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eastAsia="宋体"/>
                <w:szCs w:val="21"/>
                <w:lang w:val="en-US" w:eastAsia="zh-CN"/>
              </w:rPr>
            </w:pPr>
            <w:r>
              <w:rPr>
                <w:rFonts w:hint="eastAsia"/>
                <w:szCs w:val="21"/>
                <w:lang w:val="en-US" w:eastAsia="zh-CN"/>
              </w:rPr>
              <w:t>6</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负责现场施工</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3</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现场安全员</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w:t>
            </w:r>
            <w:r>
              <w:rPr>
                <w:rFonts w:hint="eastAsia"/>
                <w:szCs w:val="21"/>
              </w:rPr>
              <w:t>现场施工</w:t>
            </w:r>
            <w:r>
              <w:rPr>
                <w:szCs w:val="21"/>
              </w:rPr>
              <w:t>安全管理</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bl>
    <w:p>
      <w:pPr>
        <w:pBdr>
          <w:top w:val="none" w:color="auto" w:sz="0" w:space="0"/>
          <w:left w:val="none" w:color="auto" w:sz="0" w:space="0"/>
          <w:bottom w:val="none" w:color="auto" w:sz="0" w:space="0"/>
          <w:right w:val="none" w:color="auto" w:sz="0" w:space="0"/>
          <w:between w:val="none" w:color="auto" w:sz="0" w:space="0"/>
        </w:pBdr>
        <w:outlineLvl w:val="1"/>
        <w:rPr>
          <w:rFonts w:hint="eastAsia" w:ascii="宋体" w:hAnsi="宋体"/>
          <w:b/>
          <w:bCs/>
          <w:szCs w:val="21"/>
        </w:rPr>
      </w:pPr>
      <w:r>
        <w:rPr>
          <w:rFonts w:hint="eastAsia" w:ascii="宋体" w:hAnsi="宋体"/>
          <w:b/>
          <w:bCs/>
          <w:szCs w:val="21"/>
        </w:rPr>
        <w:t>注：</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1.成交人必须根据采购人要求，按一个作业面提供项目负责人（1名）</w:t>
      </w:r>
      <w:r>
        <w:rPr>
          <w:rFonts w:hint="eastAsia" w:ascii="宋体" w:hAnsi="宋体"/>
          <w:b/>
          <w:bCs/>
          <w:szCs w:val="21"/>
          <w:lang w:val="en-US" w:eastAsia="zh-CN"/>
        </w:rPr>
        <w:t>要求有工程师（路桥）或二级建造师（公路工程）及以上资历并有安全员B证（交安）</w:t>
      </w:r>
      <w:r>
        <w:rPr>
          <w:rFonts w:hint="eastAsia" w:ascii="宋体" w:hAnsi="宋体"/>
          <w:b/>
          <w:bCs/>
          <w:szCs w:val="21"/>
        </w:rPr>
        <w:t>，项目安全员（1名）</w:t>
      </w:r>
      <w:r>
        <w:rPr>
          <w:rFonts w:hint="eastAsia" w:ascii="宋体" w:hAnsi="宋体"/>
          <w:b/>
          <w:bCs/>
          <w:szCs w:val="21"/>
          <w:lang w:val="en-US" w:eastAsia="zh-CN"/>
        </w:rPr>
        <w:t>要求有安全员C证（交安）</w:t>
      </w:r>
      <w:r>
        <w:rPr>
          <w:rFonts w:hint="eastAsia" w:ascii="宋体" w:hAnsi="宋体"/>
          <w:b/>
          <w:bCs/>
          <w:szCs w:val="21"/>
        </w:rPr>
        <w:t>，项目所需的工程质检资料整理收集归档等工作由成交人完成。</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技术</w:t>
      </w:r>
      <w:r>
        <w:rPr>
          <w:rFonts w:hint="eastAsia"/>
          <w:b/>
          <w:bCs/>
          <w:szCs w:val="21"/>
          <w:lang w:val="en-US" w:eastAsia="zh-CN"/>
        </w:rPr>
        <w:t>工</w:t>
      </w:r>
      <w:r>
        <w:rPr>
          <w:rFonts w:hint="eastAsia"/>
          <w:b/>
          <w:bCs/>
          <w:szCs w:val="21"/>
        </w:rPr>
        <w:t>、</w:t>
      </w:r>
      <w:r>
        <w:rPr>
          <w:rFonts w:hint="eastAsia"/>
          <w:b/>
          <w:bCs/>
          <w:kern w:val="0"/>
          <w:szCs w:val="21"/>
          <w:lang w:bidi="ar"/>
        </w:rPr>
        <w:t>现场安全员</w:t>
      </w:r>
      <w:r>
        <w:rPr>
          <w:rFonts w:hint="eastAsia" w:ascii="宋体" w:hAnsi="宋体"/>
          <w:b/>
          <w:bCs/>
          <w:szCs w:val="21"/>
        </w:rPr>
        <w:t>500元/天。</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3.其余违约处罚参照附表1《施工协作队伍考核评价表》内容执行。</w:t>
      </w:r>
    </w:p>
    <w:p>
      <w:pPr>
        <w:pStyle w:val="17"/>
        <w:pBdr>
          <w:top w:val="none" w:color="auto" w:sz="0" w:space="0"/>
          <w:left w:val="none" w:color="auto" w:sz="0" w:space="0"/>
          <w:bottom w:val="none" w:color="auto" w:sz="0" w:space="0"/>
          <w:right w:val="none" w:color="auto" w:sz="0" w:space="0"/>
          <w:between w:val="none" w:color="auto" w:sz="0" w:space="0"/>
        </w:pBdr>
        <w:ind w:firstLine="402"/>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5"/>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5"/>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rFonts w:hAnsi="宋体"/>
                <w:szCs w:val="21"/>
              </w:rPr>
            </w:pPr>
            <w:r>
              <w:rPr>
                <w:rFonts w:hint="eastAsia" w:hAnsi="宋体"/>
                <w:szCs w:val="21"/>
              </w:rPr>
              <w:t>（11）</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int="eastAsia"/>
                <w:szCs w:val="21"/>
                <w:highlight w:val="none"/>
                <w:shd w:val="clear" w:color="auto" w:fill="FFFFFF"/>
              </w:rPr>
            </w:pPr>
            <w:r>
              <w:rPr>
                <w:rFonts w:hint="eastAsia" w:hAnsi="宋体"/>
                <w:szCs w:val="21"/>
              </w:rPr>
              <w:t>信用分满分：</w:t>
            </w:r>
            <w:r>
              <w:rPr>
                <w:rFonts w:hint="eastAsia" w:hAnsi="宋体"/>
                <w:szCs w:val="21"/>
                <w:lang w:val="en-US" w:eastAsia="zh-CN"/>
              </w:rPr>
              <w:t>3</w:t>
            </w:r>
            <w:r>
              <w:rPr>
                <w:rFonts w:hint="eastAsia" w:hAnsi="宋体"/>
                <w:szCs w:val="21"/>
              </w:rPr>
              <w:t>分</w:t>
            </w:r>
          </w:p>
          <w:p>
            <w:pPr>
              <w:spacing w:line="400" w:lineRule="exact"/>
              <w:rPr>
                <w:rFonts w:hint="default" w:eastAsia="宋体"/>
                <w:highlight w:val="none"/>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7分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信用分得分+</w:t>
            </w:r>
            <w:r>
              <w:rPr>
                <w:rFonts w:hint="eastAsia"/>
                <w:szCs w:val="21"/>
                <w:highlight w:val="none"/>
                <w:shd w:val="clear" w:color="auto" w:fill="FFFFFF"/>
              </w:rPr>
              <w:t>业绩分</w:t>
            </w:r>
            <w:r>
              <w:rPr>
                <w:rFonts w:hint="eastAsia"/>
                <w:szCs w:val="21"/>
                <w:highlight w:val="none"/>
                <w:shd w:val="clear" w:color="auto" w:fill="FFFFFF"/>
                <w:lang w:val="en-US" w:eastAsia="zh-CN"/>
              </w:rPr>
              <w:t>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17"/>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17"/>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highlight w:val="none"/>
              </w:rPr>
            </w:pPr>
            <w:r>
              <w:rPr>
                <w:rFonts w:hint="eastAsia"/>
                <w:highlight w:val="none"/>
              </w:rPr>
              <w:t>可参与评审基准价计算的报价人包括：</w:t>
            </w:r>
          </w:p>
          <w:p>
            <w:pPr>
              <w:widowControl/>
              <w:numPr>
                <w:ilvl w:val="0"/>
                <w:numId w:val="7"/>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7"/>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szCs w:val="21"/>
                <w:shd w:val="clear" w:color="auto" w:fill="FFFFFF"/>
              </w:rPr>
            </w:pPr>
            <w:r>
              <w:rPr>
                <w:rFonts w:hint="eastAsia"/>
                <w:szCs w:val="21"/>
                <w:shd w:val="clear" w:color="auto" w:fill="FFFFFF"/>
              </w:rPr>
              <w:t>信用分得分</w:t>
            </w:r>
          </w:p>
          <w:p>
            <w:pPr>
              <w:spacing w:line="240" w:lineRule="exact"/>
              <w:jc w:val="center"/>
              <w:rPr>
                <w:rFonts w:hint="eastAsia"/>
                <w:szCs w:val="21"/>
                <w:highlight w:val="none"/>
                <w:shd w:val="clear" w:color="auto" w:fill="FFFFFF"/>
              </w:rPr>
            </w:pPr>
            <w:r>
              <w:rPr>
                <w:rFonts w:hint="eastAsia"/>
                <w:szCs w:val="21"/>
                <w:shd w:val="clear" w:color="auto" w:fill="FFFFFF"/>
              </w:rPr>
              <w:t>（</w:t>
            </w:r>
            <w:r>
              <w:rPr>
                <w:rFonts w:hint="eastAsia"/>
                <w:szCs w:val="21"/>
                <w:shd w:val="clear" w:color="auto" w:fill="FFFFFF"/>
                <w:lang w:val="en-US" w:eastAsia="zh-CN"/>
              </w:rPr>
              <w:t>3</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spacing w:line="400" w:lineRule="exact"/>
              <w:rPr>
                <w:rFonts w:hint="eastAsia"/>
                <w:szCs w:val="21"/>
                <w:highlight w:val="none"/>
              </w:rPr>
            </w:pPr>
            <w:r>
              <w:rPr>
                <w:rFonts w:hint="eastAsia"/>
                <w:szCs w:val="21"/>
              </w:rPr>
              <w:t>在福建省高速公路养护工程有限公司网站发布的</w:t>
            </w:r>
            <w:r>
              <w:rPr>
                <w:szCs w:val="21"/>
              </w:rPr>
              <w:t>关于2022年度供应商信用考核结果的通报</w:t>
            </w:r>
            <w:r>
              <w:rPr>
                <w:rFonts w:hint="eastAsia"/>
                <w:szCs w:val="21"/>
              </w:rPr>
              <w:t>中（细目为：</w:t>
            </w:r>
            <w:r>
              <w:rPr>
                <w:rFonts w:hint="eastAsia"/>
                <w:szCs w:val="21"/>
                <w:lang w:val="en-US" w:eastAsia="zh-CN"/>
              </w:rPr>
              <w:t>其他</w:t>
            </w:r>
            <w:r>
              <w:rPr>
                <w:rFonts w:hint="eastAsia"/>
                <w:szCs w:val="21"/>
              </w:rPr>
              <w:t>类）被评为A级的施工企业信用分得分为</w:t>
            </w:r>
            <w:r>
              <w:rPr>
                <w:rFonts w:hint="eastAsia"/>
                <w:szCs w:val="21"/>
                <w:lang w:val="en-US" w:eastAsia="zh-CN"/>
              </w:rPr>
              <w:t>3</w:t>
            </w:r>
            <w:r>
              <w:rPr>
                <w:rFonts w:hint="eastAsia"/>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业绩分得分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7</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0"/>
              </w:numPr>
              <w:spacing w:line="400" w:lineRule="exact"/>
              <w:ind w:firstLine="420" w:firstLineChars="200"/>
              <w:rPr>
                <w:rFonts w:hint="eastAsia"/>
                <w:szCs w:val="21"/>
                <w:highlight w:val="none"/>
                <w:lang w:val="en-US" w:eastAsia="zh-CN"/>
              </w:rPr>
            </w:pPr>
            <w:r>
              <w:rPr>
                <w:rFonts w:hint="eastAsia" w:ascii="宋体" w:hAnsi="宋体"/>
                <w:szCs w:val="21"/>
              </w:rPr>
              <w:t>报价人自202</w:t>
            </w:r>
            <w:r>
              <w:rPr>
                <w:rFonts w:hint="eastAsia" w:ascii="宋体" w:hAnsi="宋体"/>
                <w:szCs w:val="21"/>
                <w:lang w:val="en-US" w:eastAsia="zh-CN"/>
              </w:rPr>
              <w:t>1</w:t>
            </w:r>
            <w:r>
              <w:rPr>
                <w:rFonts w:hint="eastAsia" w:ascii="宋体" w:hAnsi="宋体"/>
                <w:szCs w:val="21"/>
              </w:rPr>
              <w:t>年1月1日起至报价文件递交截止之日，</w:t>
            </w:r>
            <w:r>
              <w:rPr>
                <w:rFonts w:hint="eastAsia" w:ascii="宋体" w:hAnsi="宋体"/>
                <w:bCs/>
                <w:szCs w:val="21"/>
                <w:shd w:val="clear" w:color="auto" w:fill="FFFFFF"/>
              </w:rPr>
              <w:t>完成单个合</w:t>
            </w:r>
            <w:r>
              <w:rPr>
                <w:rFonts w:hint="eastAsia" w:ascii="宋体" w:hAnsi="宋体"/>
                <w:bCs/>
                <w:szCs w:val="21"/>
                <w:highlight w:val="none"/>
                <w:shd w:val="clear" w:color="auto" w:fill="FFFFFF"/>
              </w:rPr>
              <w:t>同金额</w:t>
            </w:r>
            <w:r>
              <w:rPr>
                <w:rFonts w:hint="eastAsia" w:ascii="宋体" w:hAnsi="宋体"/>
                <w:bCs/>
                <w:szCs w:val="21"/>
                <w:highlight w:val="none"/>
                <w:shd w:val="clear" w:color="auto" w:fill="FFFFFF"/>
                <w:lang w:val="en-US" w:eastAsia="zh-CN"/>
              </w:rPr>
              <w:t>80</w:t>
            </w:r>
            <w:r>
              <w:rPr>
                <w:rFonts w:hint="eastAsia" w:ascii="宋体" w:hAnsi="宋体"/>
                <w:bCs/>
                <w:szCs w:val="21"/>
                <w:highlight w:val="none"/>
                <w:shd w:val="clear" w:color="auto" w:fill="FFFFFF"/>
              </w:rPr>
              <w:t>-</w:t>
            </w:r>
            <w:r>
              <w:rPr>
                <w:rFonts w:hint="eastAsia" w:ascii="宋体" w:hAnsi="宋体"/>
                <w:bCs/>
                <w:szCs w:val="21"/>
                <w:highlight w:val="none"/>
                <w:shd w:val="clear" w:color="auto" w:fill="FFFFFF"/>
                <w:lang w:val="en-US" w:eastAsia="zh-CN"/>
              </w:rPr>
              <w:t>15</w:t>
            </w:r>
            <w:r>
              <w:rPr>
                <w:rFonts w:hint="eastAsia" w:ascii="宋体" w:hAnsi="宋体"/>
                <w:bCs/>
                <w:szCs w:val="21"/>
                <w:highlight w:val="none"/>
                <w:shd w:val="clear" w:color="auto" w:fill="FFFFFF"/>
              </w:rPr>
              <w:t>0万元（含）的在已运营高速公路上实施的</w:t>
            </w:r>
            <w:r>
              <w:rPr>
                <w:rFonts w:hint="eastAsia" w:ascii="宋体" w:hAnsi="宋体"/>
                <w:bCs/>
                <w:szCs w:val="21"/>
                <w:highlight w:val="none"/>
                <w:shd w:val="clear" w:color="auto" w:fill="FFFFFF"/>
                <w:lang w:val="en-US" w:eastAsia="zh-CN"/>
              </w:rPr>
              <w:t>路基工程</w:t>
            </w:r>
            <w:r>
              <w:rPr>
                <w:rFonts w:hint="eastAsia"/>
                <w:szCs w:val="21"/>
                <w:highlight w:val="none"/>
                <w:lang w:val="en-US" w:eastAsia="zh-CN"/>
              </w:rPr>
              <w:t>，每1项得1分，得分最高4分；</w:t>
            </w:r>
            <w:r>
              <w:rPr>
                <w:rFonts w:hint="eastAsia" w:ascii="宋体" w:hAnsi="宋体"/>
                <w:bCs/>
                <w:szCs w:val="21"/>
                <w:shd w:val="clear" w:color="auto" w:fill="FFFFFF"/>
              </w:rPr>
              <w:t>完成单个合</w:t>
            </w:r>
            <w:r>
              <w:rPr>
                <w:rFonts w:hint="eastAsia" w:ascii="宋体" w:hAnsi="宋体"/>
                <w:bCs/>
                <w:szCs w:val="21"/>
                <w:highlight w:val="none"/>
                <w:shd w:val="clear" w:color="auto" w:fill="FFFFFF"/>
              </w:rPr>
              <w:t>同金额</w:t>
            </w:r>
            <w:r>
              <w:rPr>
                <w:rFonts w:hint="eastAsia" w:ascii="宋体" w:hAnsi="宋体"/>
                <w:bCs/>
                <w:szCs w:val="21"/>
                <w:highlight w:val="none"/>
                <w:shd w:val="clear" w:color="auto" w:fill="FFFFFF"/>
                <w:lang w:val="en-US" w:eastAsia="zh-CN"/>
              </w:rPr>
              <w:t>15</w:t>
            </w:r>
            <w:r>
              <w:rPr>
                <w:rFonts w:hint="eastAsia" w:ascii="宋体" w:hAnsi="宋体"/>
                <w:bCs/>
                <w:szCs w:val="21"/>
                <w:highlight w:val="none"/>
                <w:shd w:val="clear" w:color="auto" w:fill="FFFFFF"/>
              </w:rPr>
              <w:t>0万元</w:t>
            </w:r>
            <w:r>
              <w:rPr>
                <w:rFonts w:hint="eastAsia" w:ascii="宋体" w:hAnsi="宋体"/>
                <w:bCs/>
                <w:szCs w:val="21"/>
                <w:highlight w:val="none"/>
                <w:shd w:val="clear" w:color="auto" w:fill="FFFFFF"/>
                <w:lang w:val="en-US" w:eastAsia="zh-CN"/>
              </w:rPr>
              <w:t>以上</w:t>
            </w:r>
            <w:r>
              <w:rPr>
                <w:rFonts w:hint="eastAsia" w:ascii="宋体" w:hAnsi="宋体"/>
                <w:bCs/>
                <w:szCs w:val="21"/>
                <w:highlight w:val="none"/>
                <w:shd w:val="clear" w:color="auto" w:fill="FFFFFF"/>
              </w:rPr>
              <w:t>的在已运营高速公路上实施的</w:t>
            </w:r>
            <w:r>
              <w:rPr>
                <w:rFonts w:hint="eastAsia" w:ascii="宋体" w:hAnsi="宋体"/>
                <w:bCs/>
                <w:szCs w:val="21"/>
                <w:highlight w:val="none"/>
                <w:shd w:val="clear" w:color="auto" w:fill="FFFFFF"/>
                <w:lang w:val="en-US" w:eastAsia="zh-CN"/>
              </w:rPr>
              <w:t>路基工程，</w:t>
            </w:r>
            <w:r>
              <w:rPr>
                <w:rFonts w:hint="eastAsia"/>
                <w:szCs w:val="21"/>
                <w:highlight w:val="none"/>
                <w:lang w:val="en-US" w:eastAsia="zh-CN"/>
              </w:rPr>
              <w:t>每1项得1.5分，</w:t>
            </w:r>
            <w:r>
              <w:rPr>
                <w:rFonts w:ascii="宋体" w:hAnsi="宋体"/>
                <w:bCs/>
                <w:szCs w:val="21"/>
                <w:highlight w:val="none"/>
                <w:shd w:val="clear" w:color="auto" w:fill="FFFFFF"/>
              </w:rPr>
              <w:t>最高得</w:t>
            </w:r>
            <w:r>
              <w:rPr>
                <w:rFonts w:hint="eastAsia" w:ascii="宋体" w:hAnsi="宋体"/>
                <w:bCs/>
                <w:szCs w:val="21"/>
                <w:highlight w:val="none"/>
                <w:shd w:val="clear" w:color="auto" w:fill="FFFFFF"/>
                <w:lang w:val="en-US" w:eastAsia="zh-CN"/>
              </w:rPr>
              <w:t>3</w:t>
            </w:r>
            <w:r>
              <w:rPr>
                <w:rFonts w:ascii="宋体" w:hAnsi="宋体"/>
                <w:bCs/>
                <w:szCs w:val="21"/>
                <w:highlight w:val="none"/>
                <w:shd w:val="clear" w:color="auto" w:fill="FFFFFF"/>
              </w:rPr>
              <w:t>分</w:t>
            </w:r>
            <w:r>
              <w:rPr>
                <w:rFonts w:hint="eastAsia" w:ascii="宋体" w:hAnsi="宋体"/>
                <w:bCs/>
                <w:szCs w:val="21"/>
                <w:highlight w:val="none"/>
                <w:shd w:val="clear" w:color="auto" w:fill="FFFFFF"/>
                <w:lang w:eastAsia="zh-CN"/>
              </w:rPr>
              <w:t>。</w:t>
            </w:r>
            <w:r>
              <w:rPr>
                <w:rFonts w:hint="eastAsia" w:ascii="宋体" w:hAnsi="宋体"/>
                <w:bCs/>
                <w:szCs w:val="21"/>
                <w:highlight w:val="none"/>
                <w:shd w:val="clear" w:color="auto" w:fill="FFFFFF"/>
                <w:lang w:val="en-US" w:eastAsia="zh-CN"/>
              </w:rPr>
              <w:t>以上</w:t>
            </w:r>
            <w:r>
              <w:rPr>
                <w:rFonts w:hint="eastAsia"/>
                <w:szCs w:val="21"/>
                <w:highlight w:val="none"/>
                <w:lang w:val="en-US" w:eastAsia="zh-CN"/>
              </w:rPr>
              <w:t>时间以结算时间为准，同一项目只加一次分。</w:t>
            </w:r>
            <w:r>
              <w:rPr>
                <w:rFonts w:ascii="宋体" w:hAnsi="宋体"/>
                <w:szCs w:val="21"/>
                <w:highlight w:val="none"/>
              </w:rPr>
              <w:t>以</w:t>
            </w:r>
            <w:r>
              <w:rPr>
                <w:rFonts w:hint="eastAsia" w:ascii="宋体" w:hAnsi="宋体"/>
                <w:szCs w:val="21"/>
                <w:highlight w:val="none"/>
              </w:rPr>
              <w:t>报价人</w:t>
            </w:r>
            <w:r>
              <w:rPr>
                <w:rFonts w:ascii="宋体" w:hAnsi="宋体"/>
                <w:szCs w:val="21"/>
                <w:highlight w:val="none"/>
              </w:rPr>
              <w:t>提供的施工</w:t>
            </w:r>
            <w:r>
              <w:rPr>
                <w:rFonts w:hint="eastAsia" w:ascii="宋体" w:hAnsi="宋体"/>
                <w:szCs w:val="21"/>
                <w:highlight w:val="none"/>
              </w:rPr>
              <w:t>合同</w:t>
            </w:r>
            <w:r>
              <w:rPr>
                <w:rFonts w:ascii="宋体" w:hAnsi="宋体"/>
                <w:szCs w:val="21"/>
                <w:highlight w:val="none"/>
              </w:rPr>
              <w:t>及全国公路建设市场信用信息管理系统</w:t>
            </w:r>
            <w:r>
              <w:rPr>
                <w:rFonts w:ascii="宋体" w:hAnsi="宋体"/>
                <w:szCs w:val="21"/>
              </w:rPr>
              <w:t>（http://glxy.mot.gov.cn/）中登记的业绩信息网页截图作为证明材料，若</w:t>
            </w:r>
            <w:r>
              <w:rPr>
                <w:rFonts w:hint="eastAsia" w:ascii="宋体" w:hAnsi="宋体"/>
                <w:szCs w:val="21"/>
              </w:rPr>
              <w:t>报价人</w:t>
            </w:r>
            <w:r>
              <w:rPr>
                <w:rFonts w:ascii="宋体" w:hAnsi="宋体"/>
                <w:szCs w:val="21"/>
              </w:rPr>
              <w:t>提供的业绩未在全国公路建设市场信用信息管理系统中登记，应提供施工合同</w:t>
            </w:r>
            <w:r>
              <w:rPr>
                <w:rFonts w:hint="eastAsia" w:ascii="宋体" w:hAnsi="宋体"/>
                <w:szCs w:val="21"/>
              </w:rPr>
              <w:t>（含标价的工程量清单）、甲方签认的结算资料或交工验收资料等相关</w:t>
            </w:r>
            <w:r>
              <w:rPr>
                <w:rFonts w:ascii="宋体" w:hAnsi="宋体"/>
                <w:szCs w:val="21"/>
              </w:rPr>
              <w:t>证明材料为准</w:t>
            </w:r>
            <w:r>
              <w:rPr>
                <w:rFonts w:hint="eastAsia" w:ascii="宋体" w:hAnsi="宋体"/>
                <w:szCs w:val="21"/>
              </w:rPr>
              <w:t>（时间以结算签认时间为准）</w:t>
            </w:r>
            <w:r>
              <w:rPr>
                <w:rFonts w:ascii="宋体" w:hAnsi="宋体"/>
                <w:szCs w:val="21"/>
              </w:rPr>
              <w:t>，否则不予认定。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7</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hAnsi="宋体"/>
          <w:szCs w:val="21"/>
          <w:highlight w:val="none"/>
        </w:rPr>
        <w:t>评审价得分+</w:t>
      </w:r>
      <w:r>
        <w:rPr>
          <w:rFonts w:hint="eastAsia" w:hAnsi="宋体"/>
          <w:szCs w:val="21"/>
          <w:highlight w:val="none"/>
          <w:lang w:val="en-US" w:eastAsia="zh-CN"/>
        </w:rPr>
        <w:t>信用分得分+</w:t>
      </w:r>
      <w:r>
        <w:rPr>
          <w:rFonts w:hint="eastAsia"/>
          <w:szCs w:val="21"/>
          <w:highlight w:val="none"/>
          <w:shd w:val="clear" w:color="auto" w:fill="FFFFFF"/>
        </w:rPr>
        <w:t>业绩分</w:t>
      </w:r>
      <w:r>
        <w:rPr>
          <w:rFonts w:hint="eastAsia"/>
          <w:szCs w:val="21"/>
          <w:highlight w:val="none"/>
          <w:shd w:val="clear" w:color="auto" w:fill="FFFFFF"/>
          <w:lang w:val="en-US" w:eastAsia="zh-CN"/>
        </w:rPr>
        <w:t>得分</w:t>
      </w:r>
      <w:r>
        <w:rPr>
          <w:rFonts w:hint="eastAsia" w:eastAsia="宋体"/>
          <w:highlight w:val="none"/>
          <w:lang w:val="en-US" w:eastAsia="zh-CN"/>
        </w:rPr>
        <w:t>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7"/>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7"/>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lang w:val="en-US" w:eastAsia="zh-CN"/>
        </w:rPr>
        <w:t xml:space="preserve">四、A </w:t>
      </w:r>
      <w:r>
        <w:rPr>
          <w:rFonts w:hint="eastAsia" w:ascii="仿宋_GB2312" w:hAnsi="宋体" w:eastAsia="仿宋_GB2312"/>
          <w:b/>
          <w:sz w:val="44"/>
          <w:szCs w:val="44"/>
        </w:rPr>
        <w:t>合同协议书（格式）</w:t>
      </w:r>
    </w:p>
    <w:p>
      <w:pPr>
        <w:spacing w:line="440" w:lineRule="exact"/>
        <w:outlineLvl w:val="0"/>
        <w:rPr>
          <w:rFonts w:hint="eastAsia" w:ascii="仿宋_GB2312" w:hAnsi="宋体" w:eastAsia="仿宋_GB2312"/>
          <w:b/>
          <w:bCs/>
          <w:sz w:val="36"/>
        </w:rPr>
      </w:pP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lang w:val="en-US" w:eastAsia="zh-CN"/>
        </w:rPr>
        <w:t>三明市三元</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签约合同价（含税）（暂定）：人民币（大写）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本项目工期暂定为合同签订之日起</w:t>
      </w:r>
      <w:r>
        <w:rPr>
          <w:rFonts w:hint="eastAsia" w:ascii="宋体" w:hAnsi="宋体" w:cs="宋体"/>
          <w:szCs w:val="21"/>
          <w:lang w:val="en-US" w:eastAsia="zh-CN"/>
        </w:rPr>
        <w:t>120个日历日</w:t>
      </w:r>
      <w:r>
        <w:rPr>
          <w:rFonts w:hint="eastAsia" w:ascii="宋体" w:hAnsi="宋体" w:cs="宋体"/>
          <w:szCs w:val="21"/>
        </w:rPr>
        <w:t>。实际进场时间具体以甲方通知为准。</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7"/>
        <w:ind w:firstLine="480"/>
        <w:rPr>
          <w:rFonts w:ascii="仿宋_GB2312" w:eastAsia="仿宋_GB2312"/>
          <w:sz w:val="24"/>
          <w:highlight w:val="none"/>
        </w:rPr>
      </w:pPr>
    </w:p>
    <w:p>
      <w:pPr>
        <w:pStyle w:val="12"/>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7"/>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17"/>
        <w:ind w:firstLine="723"/>
        <w:rPr>
          <w:rFonts w:ascii="仿宋_GB2312" w:hAnsi="宋体" w:eastAsia="仿宋_GB2312" w:cs="宋体"/>
          <w:b/>
          <w:sz w:val="36"/>
          <w:szCs w:val="36"/>
          <w:highlight w:val="none"/>
        </w:rPr>
      </w:pPr>
    </w:p>
    <w:p>
      <w:pPr>
        <w:jc w:val="both"/>
        <w:rPr>
          <w:rFonts w:hint="eastAsia" w:ascii="宋体" w:hAnsi="宋体" w:cs="Arial"/>
          <w:b/>
          <w:bCs/>
          <w:kern w:val="0"/>
          <w:sz w:val="36"/>
          <w:szCs w:val="36"/>
          <w:highlight w:val="none"/>
        </w:rPr>
      </w:pPr>
    </w:p>
    <w:tbl>
      <w:tblPr>
        <w:tblStyle w:val="18"/>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33"/>
        <w:gridCol w:w="1143"/>
        <w:gridCol w:w="1724"/>
        <w:gridCol w:w="698"/>
        <w:gridCol w:w="303"/>
        <w:gridCol w:w="534"/>
        <w:gridCol w:w="1035"/>
        <w:gridCol w:w="349"/>
        <w:gridCol w:w="683"/>
        <w:gridCol w:w="1026"/>
        <w:gridCol w:w="91"/>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499" w:hRule="atLeast"/>
        </w:trPr>
        <w:tc>
          <w:tcPr>
            <w:tcW w:w="8775"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9" w:type="dxa"/>
          <w:trHeight w:val="580" w:hRule="atLeast"/>
        </w:trPr>
        <w:tc>
          <w:tcPr>
            <w:tcW w:w="8775"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项目名称：永杭高速公路边坡溜方及排水系统完善工程及龙岩辖区收费站仿真草皮项目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7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8"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8"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59263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1881499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9" w:type="dxa"/>
          <w:trHeight w:val="702" w:hRule="atLeast"/>
        </w:trPr>
        <w:tc>
          <w:tcPr>
            <w:tcW w:w="117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1940762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9" w:type="dxa"/>
          <w:trHeight w:val="702" w:hRule="atLeast"/>
        </w:trPr>
        <w:tc>
          <w:tcPr>
            <w:tcW w:w="1174"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1940762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30583.53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30584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28678.85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28679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59263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 章 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AK180+600边沟水毁冲刷抢修工程</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撒草籽</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拆除砼边沟</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577.67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挖沟槽土方及弃方外运（含高速通行费）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43.82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4049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787.77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40176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C20砼排水沟加高、修复（泵送砼）（含运费、高速通行费）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748.9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2396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沥青麻絮修复边沟（2cm厚）</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42.82</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3308"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上杭西收费站办公楼右前方上边坡溜方水毁抢修工程</w:t>
            </w:r>
          </w:p>
        </w:tc>
        <w:tc>
          <w:tcPr>
            <w:tcW w:w="716" w:type="dxa"/>
            <w:tcBorders>
              <w:top w:val="single" w:color="auto" w:sz="4" w:space="0"/>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C20喷射砼（厚12cm）（二级边坡）</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113.33</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116.07</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13154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Ф8钢筋网（二级边坡）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0.516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7544.89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3893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Ф22锚杆钢筋埋设</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4217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人工清理边坡土方及外运</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76.8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35.58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2733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上杭西收费站机房后上边坡溜方水毁抢修工程</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C20砼护脚墙（泵送砼）</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775.6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177612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撒草籽</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C20喷射砼（厚12cm）（三级边坡）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943.33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124.79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117718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Ф8钢筋网（三级边坡）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4.304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8059.01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34686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Ф28锚杆钢筋埋设（边坡高速20m以上）</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89.91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136753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2363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719.5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33673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清理边坡土方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20860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回填分层碾压</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刺钢丝隔离栅（综合单价，暂定工程量）</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74.92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7492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BK192+650右侧下边坡冲刷溜方水毁抢修工程</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C20砼挡墙（泵送砼，含泄水管、反滤层、土工布）(含运费及高速通行费）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146.9</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885.53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130084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C20砼护面墙（泵送砼，含泄水管）(含运费及高速通行费）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867.19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56367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C20喷射砼（厚12cm）（一级边坡，含砂、石、水泥运费及高速通行费）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111.44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36218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Ф8钢筋网（边坡高速10m以内）</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6959.4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Ф28锚杆钢筋埋设（边坡高速10m以内）</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65.87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34384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5689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819.77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83617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人工清理边坡土方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318.6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30.98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9870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弃方外运（8.7km，含高速通行费）</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500.6</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14.17</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7094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3308"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BK181+550~BK180+660边沟排水系统完善工程</w:t>
            </w:r>
          </w:p>
        </w:tc>
        <w:tc>
          <w:tcPr>
            <w:tcW w:w="716" w:type="dxa"/>
            <w:tcBorders>
              <w:top w:val="single" w:color="auto" w:sz="4" w:space="0"/>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拆除砼边沟</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577.67</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52568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256.8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232.4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186129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弃渣外运（16.9km，含高速通行费）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347.8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管线迁改</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手孔井</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1316.7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2005-5-2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YJV22-4*25铜芯电缆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87.07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38311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烽火GYTAS-18B1光缆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4734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φ89mm热镀锌钢管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86.93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37380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3308"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龙岩辖区收费站仿真草皮项目</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4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仿真草皮地面拆除</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18302.98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57105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压板拆除</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23793.874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57819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余方弃置</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366.06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28.55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仿真草皮地面</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18302.98</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16.61</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304012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草皮压板（压板利旧）</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23793.874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118493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64"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1881499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2"/>
        <w:ind w:left="0" w:leftChars="0" w:firstLine="0" w:firstLineChars="0"/>
        <w:rPr>
          <w:rFonts w:hint="eastAsia" w:ascii="宋体" w:hAnsi="宋体" w:cs="Arial"/>
          <w:b/>
          <w:bCs/>
          <w:kern w:val="0"/>
          <w:sz w:val="36"/>
          <w:szCs w:val="36"/>
          <w:highlight w:val="none"/>
        </w:rPr>
      </w:pPr>
    </w:p>
    <w:p>
      <w:pPr>
        <w:ind w:firstLine="2168" w:firstLineChars="600"/>
        <w:jc w:val="both"/>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8"/>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本工程量清单应与竞价文件中的竞价须知、合同协议书、技术标准及图纸等一起阅读和理解。</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本工程量清单中的数量为设计文件的预计数量，仅作为成交报价的基础，不能作为最终结算和支付的依据。实际支付应按实际完成的工程量，并以现场签证为准。</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bookmarkStart w:id="9" w:name="_Hlk88231457"/>
      <w:r>
        <w:rPr>
          <w:rFonts w:hint="eastAsia" w:ascii="Times New Roman" w:hAnsi="Times New Roman" w:eastAsia="宋体" w:cs="Times New Roman"/>
          <w:sz w:val="24"/>
          <w:highlight w:val="none"/>
        </w:rPr>
        <w:t>图纸中所列的工程量数量表及数量汇总表仅是提供资料，不是工程量清单的外延。当图纸与工程量清单所列数量不一致时，以工程量清单所列数量作为报价依据。</w:t>
      </w:r>
    </w:p>
    <w:bookmarkEnd w:id="9"/>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工程量清单中报价人没有填入单价或价格的子目，其费用视为已分摊在工程量清单中的其他有关子目的单价或总额价中。</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报价人用于本合同工程的各类装备的提供、运输、维护、拆卸、拼装等支付的费用，已包括在工程量清单的单价或总额价之中。</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用于本合同工程所有车辆、机械设备的通行费、燃油费，应视为已分摊在工程量清单中的其他有关子目的单价或总额价中。</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工程施工中可能涉及民事干扰因素，成交人应积极主动协调解决，所产生的费用全部由成交人承担。</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报价人各单项及总价均不得超过采购人的控制价，否则其报价作废。</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成交人不得转包他人，若发现转包，采购人将不予退还履约保证金，并有权要求成交人按转包金额的20%承担违约责任。</w:t>
      </w:r>
    </w:p>
    <w:p>
      <w:pPr>
        <w:numPr>
          <w:ilvl w:val="0"/>
          <w:numId w:val="8"/>
        </w:numPr>
        <w:tabs>
          <w:tab w:val="left" w:pos="0"/>
          <w:tab w:val="left" w:pos="993"/>
          <w:tab w:val="left" w:pos="1134"/>
        </w:tabs>
        <w:snapToGrid w:val="0"/>
        <w:spacing w:line="400" w:lineRule="exact"/>
        <w:ind w:firstLine="48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采购人提供的材料有：</w:t>
      </w:r>
      <w:r>
        <w:rPr>
          <w:rFonts w:hint="eastAsia" w:ascii="Times New Roman" w:hAnsi="Times New Roman" w:eastAsia="宋体" w:cs="Times New Roman"/>
          <w:sz w:val="24"/>
          <w:highlight w:val="none"/>
          <w:lang w:val="en-US" w:eastAsia="zh-CN"/>
        </w:rPr>
        <w:t>锚杆钢筋。</w:t>
      </w:r>
      <w:r>
        <w:rPr>
          <w:rFonts w:hint="eastAsia" w:ascii="Times New Roman" w:hAnsi="Times New Roman" w:eastAsia="宋体" w:cs="Times New Roman"/>
          <w:sz w:val="24"/>
          <w:highlight w:val="none"/>
        </w:rPr>
        <w:t>其余非采购人提供的工程材料均由成交人提供，非采购人提供的材料视为已分摊在工程量清单中的其他有关子目的单价或总额价中。</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tabs>
          <w:tab w:val="left" w:pos="0"/>
          <w:tab w:val="left" w:pos="993"/>
          <w:tab w:val="left" w:pos="1134"/>
        </w:tabs>
        <w:snapToGrid w:val="0"/>
        <w:spacing w:before="240" w:after="240" w:line="900" w:lineRule="exact"/>
        <w:ind w:firstLine="2409" w:firstLineChars="500"/>
        <w:jc w:val="both"/>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ind w:firstLine="2409" w:firstLineChars="500"/>
        <w:jc w:val="both"/>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ind w:firstLine="2409" w:firstLineChars="500"/>
        <w:jc w:val="both"/>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ind w:firstLine="2409" w:firstLineChars="500"/>
        <w:jc w:val="both"/>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ind w:firstLine="2409" w:firstLineChars="500"/>
        <w:jc w:val="both"/>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pStyle w:val="2"/>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7"/>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pStyle w:val="17"/>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9"/>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7"/>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7"/>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1"/>
        <w:rPr>
          <w:highlight w:val="none"/>
        </w:rPr>
      </w:pPr>
    </w:p>
    <w:p>
      <w:pPr>
        <w:pStyle w:val="17"/>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永杭高速公路边坡溜方及排水系统完善工程及龙岩辖区收费站仿真草皮项目</w:t>
      </w:r>
      <w:r>
        <w:rPr>
          <w:rFonts w:hint="eastAsia" w:ascii="宋体" w:hAnsi="宋体" w:eastAsia="宋体" w:cs="宋体"/>
          <w:sz w:val="52"/>
          <w:szCs w:val="52"/>
          <w:highlight w:val="none"/>
          <w:u w:val="single"/>
        </w:rPr>
        <w:t>施工协作队伍选择</w:t>
      </w:r>
    </w:p>
    <w:p>
      <w:pPr>
        <w:pStyle w:val="11"/>
        <w:jc w:val="center"/>
        <w:rPr>
          <w:rFonts w:ascii="仿宋_GB2312" w:hAnsi="宋体" w:eastAsia="仿宋_GB2312"/>
          <w:sz w:val="44"/>
          <w:szCs w:val="44"/>
          <w:highlight w:val="none"/>
          <w:u w:val="single"/>
        </w:rPr>
      </w:pPr>
    </w:p>
    <w:p>
      <w:pPr>
        <w:pStyle w:val="11"/>
        <w:rPr>
          <w:highlight w:val="none"/>
        </w:rPr>
      </w:pPr>
    </w:p>
    <w:p>
      <w:pPr>
        <w:pStyle w:val="11"/>
        <w:rPr>
          <w:highlight w:val="none"/>
        </w:rPr>
      </w:pPr>
    </w:p>
    <w:p>
      <w:pPr>
        <w:pStyle w:val="31"/>
        <w:spacing w:line="264" w:lineRule="auto"/>
        <w:rPr>
          <w:rFonts w:ascii="仿宋_GB2312" w:hAnsi="Times New Roman" w:eastAsia="仿宋_GB2312"/>
          <w:sz w:val="36"/>
          <w:highlight w:val="none"/>
        </w:rPr>
      </w:pPr>
    </w:p>
    <w:p>
      <w:pPr>
        <w:pStyle w:val="11"/>
        <w:rPr>
          <w:highlight w:val="none"/>
        </w:rPr>
      </w:pPr>
    </w:p>
    <w:p>
      <w:pPr>
        <w:pStyle w:val="31"/>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1"/>
        <w:spacing w:line="264" w:lineRule="auto"/>
        <w:rPr>
          <w:rFonts w:ascii="仿宋_GB2312" w:hAnsi="Times New Roman" w:eastAsia="仿宋_GB2312"/>
          <w:sz w:val="36"/>
          <w:highlight w:val="none"/>
        </w:rPr>
      </w:pPr>
    </w:p>
    <w:p>
      <w:pPr>
        <w:pStyle w:val="11"/>
        <w:rPr>
          <w:highlight w:val="none"/>
        </w:rPr>
      </w:pPr>
    </w:p>
    <w:p>
      <w:pPr>
        <w:pStyle w:val="11"/>
        <w:rPr>
          <w:highlight w:val="none"/>
        </w:rPr>
      </w:pPr>
    </w:p>
    <w:p>
      <w:pPr>
        <w:pStyle w:val="11"/>
        <w:rPr>
          <w:highlight w:val="none"/>
        </w:rPr>
      </w:pPr>
    </w:p>
    <w:p>
      <w:pPr>
        <w:pStyle w:val="31"/>
        <w:spacing w:line="264" w:lineRule="auto"/>
        <w:rPr>
          <w:rFonts w:ascii="仿宋_GB2312" w:hAnsi="Times New Roman" w:eastAsia="仿宋_GB2312"/>
          <w:sz w:val="36"/>
          <w:highlight w:val="none"/>
        </w:rPr>
      </w:pPr>
    </w:p>
    <w:p>
      <w:pPr>
        <w:pStyle w:val="31"/>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1"/>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1"/>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1"/>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1"/>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7、业绩证明</w:t>
      </w:r>
    </w:p>
    <w:p>
      <w:pPr>
        <w:pStyle w:val="17"/>
        <w:ind w:left="0" w:leftChars="0" w:firstLine="640" w:firstLineChars="200"/>
        <w:rPr>
          <w:rFonts w:hint="eastAsia" w:ascii="仿宋_GB2312" w:eastAsia="仿宋_GB2312"/>
          <w:sz w:val="32"/>
          <w:szCs w:val="32"/>
        </w:rPr>
      </w:pPr>
      <w:r>
        <w:rPr>
          <w:rFonts w:hint="eastAsia" w:ascii="仿宋_GB2312" w:hAnsi="宋体" w:eastAsia="仿宋_GB2312"/>
          <w:sz w:val="32"/>
          <w:szCs w:val="32"/>
          <w:highlight w:val="none"/>
          <w:lang w:val="en-US" w:eastAsia="zh-CN"/>
        </w:rPr>
        <w:t>8、</w:t>
      </w:r>
      <w:r>
        <w:rPr>
          <w:rFonts w:hint="eastAsia" w:ascii="仿宋_GB2312" w:eastAsia="仿宋_GB2312"/>
          <w:sz w:val="32"/>
          <w:szCs w:val="32"/>
        </w:rPr>
        <w:t>报价人信用等级情况及信用分使用情况申请表</w:t>
      </w:r>
    </w:p>
    <w:p>
      <w:pPr>
        <w:pStyle w:val="17"/>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、其他资料</w:t>
      </w:r>
    </w:p>
    <w:p>
      <w:pPr>
        <w:pStyle w:val="17"/>
        <w:ind w:left="0" w:leftChars="0" w:firstLine="640" w:firstLineChars="200"/>
        <w:rPr>
          <w:rFonts w:hint="eastAsia" w:ascii="仿宋_GB2312" w:hAnsi="宋体" w:eastAsia="仿宋_GB2312" w:cs="Times New Roman"/>
          <w:b w:val="0"/>
          <w:kern w:val="0"/>
          <w:sz w:val="32"/>
          <w:szCs w:val="32"/>
          <w:highlight w:val="none"/>
          <w:lang w:val="en-US" w:eastAsia="zh-CN" w:bidi="ar-SA"/>
        </w:rPr>
      </w:pPr>
      <w:r>
        <w:rPr>
          <w:rFonts w:hint="eastAsia" w:ascii="仿宋_GB2312" w:hAnsi="宋体" w:eastAsia="仿宋_GB2312" w:cs="Times New Roman"/>
          <w:b w:val="0"/>
          <w:kern w:val="0"/>
          <w:sz w:val="32"/>
          <w:szCs w:val="32"/>
          <w:highlight w:val="none"/>
          <w:lang w:val="en-US" w:eastAsia="zh-CN" w:bidi="ar-SA"/>
        </w:rPr>
        <w:t>10、退还报价保证金承诺书</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ind w:firstLine="3213" w:firstLineChars="1000"/>
        <w:jc w:val="both"/>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10"/>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永杭高速公路边坡溜方及排水系统完善工程及龙岩辖区收费站仿真草皮项目</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120个日历日内</w:t>
      </w:r>
      <w:r>
        <w:rPr>
          <w:rFonts w:hint="eastAsia" w:ascii="仿宋_GB2312" w:eastAsia="仿宋_GB2312"/>
          <w:sz w:val="24"/>
          <w:highlight w:val="none"/>
        </w:rPr>
        <w:t>交工验收并移交整个工程（</w:t>
      </w:r>
      <w:r>
        <w:rPr>
          <w:rFonts w:hint="eastAsia" w:ascii="仿宋_GB2312" w:eastAsia="仿宋_GB2312"/>
          <w:sz w:val="24"/>
        </w:rPr>
        <w:t>实际进场时间具体以采购人的通知为准</w:t>
      </w:r>
      <w:r>
        <w:rPr>
          <w:rFonts w:hint="eastAsia" w:ascii="仿宋_GB2312" w:eastAsia="仿宋_GB2312"/>
          <w:sz w:val="24"/>
          <w:highlight w:val="none"/>
        </w:rPr>
        <w:t>）。</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ascii="仿宋_GB2312" w:eastAsia="仿宋_GB2312"/>
          <w:sz w:val="24"/>
          <w:szCs w:val="24"/>
          <w:highlight w:val="none"/>
        </w:rPr>
      </w:pPr>
    </w:p>
    <w:p>
      <w:pPr>
        <w:ind w:firstLine="3200" w:firstLineChars="1000"/>
        <w:rPr>
          <w:b/>
          <w:bCs/>
          <w:sz w:val="28"/>
          <w:szCs w:val="28"/>
          <w:highlight w:val="none"/>
        </w:rPr>
      </w:pPr>
      <w:r>
        <w:rPr>
          <w:rFonts w:hint="eastAsia" w:ascii="仿宋_GB2312" w:hAnsi="宋体" w:eastAsia="仿宋_GB2312"/>
          <w:sz w:val="32"/>
          <w:szCs w:val="32"/>
          <w:highlight w:val="none"/>
        </w:rPr>
        <w:t>2、工程量清单</w:t>
      </w:r>
    </w:p>
    <w:tbl>
      <w:tblPr>
        <w:tblStyle w:val="18"/>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33"/>
        <w:gridCol w:w="1143"/>
        <w:gridCol w:w="1724"/>
        <w:gridCol w:w="698"/>
        <w:gridCol w:w="303"/>
        <w:gridCol w:w="534"/>
        <w:gridCol w:w="1035"/>
        <w:gridCol w:w="349"/>
        <w:gridCol w:w="683"/>
        <w:gridCol w:w="1026"/>
        <w:gridCol w:w="91"/>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9" w:type="dxa"/>
          <w:trHeight w:val="580" w:hRule="atLeast"/>
        </w:trPr>
        <w:tc>
          <w:tcPr>
            <w:tcW w:w="8775"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项目名称：永杭高速公路边坡溜方及排水系统完善工程及龙岩辖区收费站仿真草皮项目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49" w:type="dxa"/>
          <w:trHeight w:val="702" w:hRule="atLeast"/>
        </w:trPr>
        <w:tc>
          <w:tcPr>
            <w:tcW w:w="118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3"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25"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918"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00"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8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2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59263 </w:t>
            </w:r>
          </w:p>
        </w:tc>
        <w:tc>
          <w:tcPr>
            <w:tcW w:w="180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8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2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路基工程</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1881499 </w:t>
            </w:r>
          </w:p>
        </w:tc>
        <w:tc>
          <w:tcPr>
            <w:tcW w:w="180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8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200章清单合计</w:t>
            </w:r>
          </w:p>
        </w:tc>
        <w:tc>
          <w:tcPr>
            <w:tcW w:w="19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1940762 </w:t>
            </w:r>
          </w:p>
        </w:tc>
        <w:tc>
          <w:tcPr>
            <w:tcW w:w="1800"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49" w:type="dxa"/>
          <w:trHeight w:val="702" w:hRule="atLeast"/>
        </w:trPr>
        <w:tc>
          <w:tcPr>
            <w:tcW w:w="118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868"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918"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1940762 </w:t>
            </w:r>
          </w:p>
        </w:tc>
        <w:tc>
          <w:tcPr>
            <w:tcW w:w="180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200"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30583.53</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30584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28678.85</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28679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91"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3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59263 </w:t>
            </w:r>
          </w:p>
        </w:tc>
        <w:tc>
          <w:tcPr>
            <w:tcW w:w="102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 章 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200"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5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200"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AK180+600边沟水毁冲刷抢修工程</w:t>
            </w:r>
          </w:p>
        </w:tc>
        <w:tc>
          <w:tcPr>
            <w:tcW w:w="69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35"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32"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撒草籽</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拆除砼边沟</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577.67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挖沟槽土方及弃方外运（含高速通行费）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43.82</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4049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787.77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40176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C20砼排水沟加高、修复（泵送砼）（含运费、高速通行费）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748.9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2396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3200"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沥青麻絮修复边沟（2cm厚）</w:t>
            </w:r>
          </w:p>
        </w:tc>
        <w:tc>
          <w:tcPr>
            <w:tcW w:w="698"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35"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42.82</w:t>
            </w:r>
          </w:p>
        </w:tc>
        <w:tc>
          <w:tcPr>
            <w:tcW w:w="1032"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w:t>
            </w:r>
          </w:p>
        </w:tc>
        <w:tc>
          <w:tcPr>
            <w:tcW w:w="3200"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上杭西收费站办公楼右前方上边坡溜方水毁抢修工程</w:t>
            </w:r>
          </w:p>
        </w:tc>
        <w:tc>
          <w:tcPr>
            <w:tcW w:w="698" w:type="dxa"/>
            <w:tcBorders>
              <w:top w:val="single" w:color="auto" w:sz="4" w:space="0"/>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32"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3200"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C20喷射砼（厚12cm）（二级边坡）</w:t>
            </w:r>
          </w:p>
        </w:tc>
        <w:tc>
          <w:tcPr>
            <w:tcW w:w="698"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113.33</w:t>
            </w:r>
          </w:p>
        </w:tc>
        <w:tc>
          <w:tcPr>
            <w:tcW w:w="1035"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116.07</w:t>
            </w:r>
          </w:p>
        </w:tc>
        <w:tc>
          <w:tcPr>
            <w:tcW w:w="1032"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13154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Ф8钢筋网（二级边坡）</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0.516</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7544.89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3893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Ф22锚杆钢筋埋设</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46.85</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人工清理边坡土方及外运</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76.8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35.58</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2733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上杭西收费站机房后上边坡溜方水毁抢修工程</w:t>
            </w:r>
          </w:p>
        </w:tc>
        <w:tc>
          <w:tcPr>
            <w:tcW w:w="69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32"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C20砼护脚墙（泵送砼）</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229</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775.6</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177612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撒草籽</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C20喷射砼（厚12cm）（三级边坡）</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943.33</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124.79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117718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Ф8钢筋网（三级边坡）</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4.304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8059.01</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34686</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Ф28锚杆钢筋埋设（边坡高速20m以上）</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1521</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89.91</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136753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75.6</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2363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719.5</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33673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清理边坡土方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11.92</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20860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回填分层碾压</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1750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11183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刺钢丝隔离栅（综合单价，暂定工程量）</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74.92</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7492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BK192+650右侧下边坡冲刷溜方水毁抢修工程</w:t>
            </w:r>
          </w:p>
        </w:tc>
        <w:tc>
          <w:tcPr>
            <w:tcW w:w="69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C20砼挡墙（泵送砼，含泄水管、反滤层、土工布）(含运费及高速通行费）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146.9</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885.53</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130084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C20砼护面墙（泵送砼，含泄水管）(含运费及高速通行费）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867.19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56367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C20喷射砼（厚12cm）（一级边坡，含砂、石、水泥运费及高速通行费）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111.44</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36218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Ф8钢筋网（边坡高速10m以内）</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1.497</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6959.4</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10418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Ф28锚杆钢筋埋设（边坡高速10m以内）</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522</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65.87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34384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5689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C20砼现浇排水沟（泵送砼）(含运费及高速通行费）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102</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819.77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83617</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人工清理边坡土方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318.6</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30.98</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9870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3200"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弃方外运（8.7km，含高速通行费）</w:t>
            </w:r>
          </w:p>
        </w:tc>
        <w:tc>
          <w:tcPr>
            <w:tcW w:w="698"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500.6</w:t>
            </w:r>
          </w:p>
        </w:tc>
        <w:tc>
          <w:tcPr>
            <w:tcW w:w="1035"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14.17</w:t>
            </w:r>
          </w:p>
        </w:tc>
        <w:tc>
          <w:tcPr>
            <w:tcW w:w="1032"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7094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5</w:t>
            </w:r>
          </w:p>
        </w:tc>
        <w:tc>
          <w:tcPr>
            <w:tcW w:w="3200"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BK181+550~BK180+660边沟排水系统完善工程</w:t>
            </w:r>
          </w:p>
        </w:tc>
        <w:tc>
          <w:tcPr>
            <w:tcW w:w="698" w:type="dxa"/>
            <w:tcBorders>
              <w:top w:val="single" w:color="auto" w:sz="4" w:space="0"/>
              <w:left w:val="nil"/>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single" w:color="auto" w:sz="4" w:space="0"/>
              <w:left w:val="nil"/>
              <w:bottom w:val="single" w:color="auto"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2" w:type="dxa"/>
            <w:gridSpan w:val="2"/>
            <w:tcBorders>
              <w:top w:val="single" w:color="auto" w:sz="4" w:space="0"/>
              <w:left w:val="nil"/>
              <w:bottom w:val="single" w:color="auto" w:sz="4" w:space="0"/>
              <w:right w:val="single" w:color="auto"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26"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3200"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拆除砼边沟</w:t>
            </w:r>
          </w:p>
        </w:tc>
        <w:tc>
          <w:tcPr>
            <w:tcW w:w="698"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w:t>
            </w:r>
          </w:p>
        </w:tc>
        <w:tc>
          <w:tcPr>
            <w:tcW w:w="1035"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577.67</w:t>
            </w:r>
          </w:p>
        </w:tc>
        <w:tc>
          <w:tcPr>
            <w:tcW w:w="1032"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52568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挖沟槽土方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256.8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31.26</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8028</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C20砼现浇排水沟（泵送砼）（含运费及高速通行费）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232.4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186129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弃渣外运（16.9km，含高速通行费）</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347.8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23.9</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管线迁改</w:t>
            </w:r>
          </w:p>
        </w:tc>
        <w:tc>
          <w:tcPr>
            <w:tcW w:w="69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2"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手孔井</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1316.7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7900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2005-5-2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YJV22-4*25铜芯电缆</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87.07</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38311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烽火GYTAS-18B1光缆</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10.52</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4734</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φ89mm热镀锌钢管</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430</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86.93</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37380</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6</w:t>
            </w:r>
          </w:p>
        </w:tc>
        <w:tc>
          <w:tcPr>
            <w:tcW w:w="3200" w:type="dxa"/>
            <w:gridSpan w:val="3"/>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龙岩辖区收费站仿真草皮项目</w:t>
            </w:r>
          </w:p>
        </w:tc>
        <w:tc>
          <w:tcPr>
            <w:tcW w:w="698"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837"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03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6"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仿真草皮地面拆除</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18302.98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3.12</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57105</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压板拆除</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23793.874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2.43</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57819</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余方弃置</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366.06</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28.55</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10451</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仿真草皮地面</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18302.98</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16.61</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304012</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320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草皮压板（压板利旧）</w:t>
            </w:r>
          </w:p>
        </w:tc>
        <w:tc>
          <w:tcPr>
            <w:tcW w:w="69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3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23793.874</w:t>
            </w:r>
          </w:p>
        </w:tc>
        <w:tc>
          <w:tcPr>
            <w:tcW w:w="10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4.98</w:t>
            </w:r>
          </w:p>
        </w:tc>
        <w:tc>
          <w:tcPr>
            <w:tcW w:w="103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118493</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591"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35"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2" w:type="dxa"/>
            <w:gridSpan w:val="2"/>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1881499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21"/>
          <w:szCs w:val="21"/>
          <w:highlight w:val="none"/>
        </w:rPr>
      </w:pPr>
    </w:p>
    <w:p>
      <w:pPr>
        <w:jc w:val="both"/>
        <w:rPr>
          <w:rFonts w:hint="eastAsia" w:ascii="宋体" w:hAnsi="宋体" w:cs="Arial"/>
          <w:b/>
          <w:bCs/>
          <w:kern w:val="0"/>
          <w:sz w:val="21"/>
          <w:szCs w:val="21"/>
          <w:highlight w:val="none"/>
        </w:rPr>
      </w:pPr>
      <w:r>
        <w:rPr>
          <w:rFonts w:hint="eastAsia" w:ascii="宋体" w:hAnsi="宋体" w:cs="Arial"/>
          <w:b/>
          <w:bCs/>
          <w:kern w:val="0"/>
          <w:sz w:val="21"/>
          <w:szCs w:val="21"/>
          <w:highlight w:val="none"/>
        </w:rPr>
        <w:t>数量为暂估数量，结算以双方现场验收的具体数量为准</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val="0"/>
          <w:bCs w:val="0"/>
          <w:kern w:val="0"/>
          <w:sz w:val="36"/>
          <w:szCs w:val="36"/>
          <w:highlight w:val="none"/>
        </w:rPr>
      </w:pPr>
      <w:r>
        <w:rPr>
          <w:rFonts w:hint="eastAsia" w:ascii="宋体" w:hAnsi="宋体" w:cs="Arial"/>
          <w:b w:val="0"/>
          <w:bCs w:val="0"/>
          <w:kern w:val="0"/>
          <w:sz w:val="36"/>
          <w:szCs w:val="36"/>
          <w:highlight w:val="none"/>
        </w:rPr>
        <w:t>工程量清单编制说明</w:t>
      </w:r>
    </w:p>
    <w:p>
      <w:pPr>
        <w:numPr>
          <w:ilvl w:val="0"/>
          <w:numId w:val="0"/>
        </w:numPr>
        <w:tabs>
          <w:tab w:val="left" w:pos="0"/>
          <w:tab w:val="left" w:pos="993"/>
          <w:tab w:val="left" w:pos="1134"/>
        </w:tabs>
        <w:snapToGrid w:val="0"/>
        <w:spacing w:line="400" w:lineRule="exact"/>
        <w:ind w:firstLine="240" w:firstLineChars="100"/>
        <w:jc w:val="left"/>
        <w:rPr>
          <w:rFonts w:eastAsia="仿宋"/>
          <w:sz w:val="28"/>
          <w:szCs w:val="28"/>
          <w:highlight w:val="none"/>
          <w:u w:val="single"/>
        </w:rPr>
      </w:pPr>
      <w:r>
        <w:rPr>
          <w:rFonts w:hint="eastAsia"/>
          <w:sz w:val="24"/>
          <w:highlight w:val="none"/>
          <w:lang w:val="en-US" w:eastAsia="zh-CN"/>
        </w:rPr>
        <w:t>1、</w:t>
      </w: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除非合同另有规定，工程量清单报价应包含为实施和完成本工程所有施工项目所需的所有劳务（含安全布控）、材料（除采购人提供材料外）、机械设备（包括油费、过路费）、管理费、进出场费、驻地建设、保险、税费、利润等费用及合同明示或暗示的所有责任、义务和一般风险。</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本工程量清单应与竞价文件中的竞价须知、合同协议书、技术标准及图纸等一起阅读和理解。</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本工程量清单中的数量为设计文件的预计数量，仅作为成交报价的基础，不能作为最终结算和支付的依据。实际支付应按实际完成的工程量，并以现场签证为准。</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rPr>
        <w:t>图纸中所列的工程量数量表及数量汇总表仅是提供资料，不是工程量清单的外延。当图纸与工程量清单所列数量不一致时，以工程量清单所列数量作为报价依据。</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工程量清单中报价人没有填入单价或价格的子目，其费用视为已分摊在工程量清单中的其他有关子目的单价或总额价中。</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7、</w:t>
      </w:r>
      <w:r>
        <w:rPr>
          <w:rFonts w:hint="eastAsia" w:ascii="Times New Roman" w:hAnsi="Times New Roman" w:eastAsia="宋体" w:cs="Times New Roman"/>
          <w:sz w:val="24"/>
          <w:highlight w:val="none"/>
        </w:rPr>
        <w:t>报价人用于本合同工程的各类装备的提供、运输、维护、拆卸、拼装等支付的费用，已包括在工程量清单的单价或总额价之中。</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8、</w:t>
      </w:r>
      <w:r>
        <w:rPr>
          <w:rFonts w:hint="eastAsia" w:ascii="Times New Roman" w:hAnsi="Times New Roman" w:eastAsia="宋体" w:cs="Times New Roman"/>
          <w:sz w:val="24"/>
          <w:highlight w:val="none"/>
        </w:rPr>
        <w:t>用于本合同工程所有车辆、机械设备的通行费、燃油费，应视为已分摊在工程量清单中的其他有关子目的单价或总额价中。</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9、</w:t>
      </w:r>
      <w:r>
        <w:rPr>
          <w:rFonts w:hint="eastAsia" w:ascii="Times New Roman" w:hAnsi="Times New Roman" w:eastAsia="宋体" w:cs="Times New Roman"/>
          <w:sz w:val="24"/>
          <w:highlight w:val="none"/>
        </w:rPr>
        <w:t>工程施工中可能涉及民事干扰因素，成交人应积极主动协调解决，所产生的费用全部由成交人承担。</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10、</w:t>
      </w:r>
      <w:r>
        <w:rPr>
          <w:rFonts w:hint="eastAsia" w:ascii="Times New Roman" w:hAnsi="Times New Roman" w:eastAsia="宋体" w:cs="Times New Roman"/>
          <w:sz w:val="24"/>
          <w:highlight w:val="none"/>
        </w:rPr>
        <w:t>报价人各单项及总价均不得超过采购人的控制价，否则其报价作废。</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11、</w:t>
      </w:r>
      <w:r>
        <w:rPr>
          <w:rFonts w:hint="eastAsia" w:ascii="Times New Roman" w:hAnsi="Times New Roman" w:eastAsia="宋体" w:cs="Times New Roman"/>
          <w:sz w:val="24"/>
          <w:highlight w:val="none"/>
        </w:rPr>
        <w:t>设计文件中的交通布控图仅供参考，成交人应根据设计文件对本项目的管控要求、做好现场实施准备，并依据安全布控规范要求考虑交通布控费用及报价风险，施工时必须严格按照高速交警、交通执法等部门的审批方案进行交通安全布控。</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成交人不得转包他人，若发现转包，采购人将不予退还履约保证金，并有权要求成交人按转包金额的20%承担违约责任。</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13、</w:t>
      </w:r>
      <w:r>
        <w:rPr>
          <w:rFonts w:hint="eastAsia" w:ascii="Times New Roman" w:hAnsi="Times New Roman" w:eastAsia="宋体" w:cs="Times New Roman"/>
          <w:sz w:val="24"/>
          <w:highlight w:val="none"/>
        </w:rPr>
        <w:t>采购人提供的材料有：</w:t>
      </w:r>
      <w:r>
        <w:rPr>
          <w:rFonts w:hint="eastAsia" w:ascii="Times New Roman" w:hAnsi="Times New Roman" w:eastAsia="宋体" w:cs="Times New Roman"/>
          <w:sz w:val="24"/>
          <w:highlight w:val="none"/>
          <w:lang w:val="en-US" w:eastAsia="zh-CN"/>
        </w:rPr>
        <w:t>锚杆钢筋。</w:t>
      </w:r>
      <w:r>
        <w:rPr>
          <w:rFonts w:hint="eastAsia" w:ascii="Times New Roman" w:hAnsi="Times New Roman" w:eastAsia="宋体" w:cs="Times New Roman"/>
          <w:sz w:val="24"/>
          <w:highlight w:val="none"/>
        </w:rPr>
        <w:t>其余非采购人提供的工程材料均由成交人提供，非采购人提供的材料视为已分摊在工程量清单中的其他有关子目的单价或总额价中。</w:t>
      </w:r>
    </w:p>
    <w:p>
      <w:pPr>
        <w:numPr>
          <w:ilvl w:val="0"/>
          <w:numId w:val="0"/>
        </w:numPr>
        <w:tabs>
          <w:tab w:val="left" w:pos="0"/>
          <w:tab w:val="left" w:pos="993"/>
          <w:tab w:val="left" w:pos="1134"/>
        </w:tabs>
        <w:snapToGrid w:val="0"/>
        <w:spacing w:line="400" w:lineRule="exact"/>
        <w:ind w:firstLine="240" w:firstLineChars="1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14、</w:t>
      </w:r>
      <w:r>
        <w:rPr>
          <w:rFonts w:hint="eastAsia" w:ascii="Times New Roman" w:hAnsi="Times New Roman" w:eastAsia="宋体" w:cs="Times New Roman"/>
          <w:sz w:val="24"/>
          <w:highlight w:val="none"/>
        </w:rPr>
        <w:t>本项目工程量清单的报价中税金统一按9%计取。结算时若成交人为一般纳税人按9%税金进行结算，若成交人为小规模纳税人或成交人按简易征收程序办理可抵扣的增值税专用发票的则按3%进行结算。</w:t>
      </w:r>
    </w:p>
    <w:p>
      <w:pPr>
        <w:spacing w:line="500" w:lineRule="exact"/>
        <w:ind w:firstLine="4080" w:firstLineChars="1700"/>
        <w:jc w:val="both"/>
        <w:rPr>
          <w:rFonts w:ascii="宋体" w:hAnsi="宋体" w:cs="Arial"/>
          <w:bCs/>
          <w:kern w:val="0"/>
          <w:sz w:val="24"/>
          <w:u w:val="single"/>
        </w:rPr>
      </w:pPr>
      <w:r>
        <w:rPr>
          <w:rFonts w:hint="eastAsia" w:ascii="宋体" w:hAnsi="宋体" w:cs="Arial"/>
          <w:bCs/>
          <w:kern w:val="0"/>
          <w:sz w:val="24"/>
        </w:rPr>
        <w:t>报价人单位（盖章）：</w:t>
      </w:r>
      <w:r>
        <w:rPr>
          <w:rFonts w:hint="eastAsia" w:ascii="宋体" w:hAnsi="宋体" w:cs="Arial"/>
          <w:bCs/>
          <w:kern w:val="0"/>
          <w:sz w:val="24"/>
          <w:u w:val="single"/>
        </w:rPr>
        <w:t xml:space="preserve">                  </w:t>
      </w:r>
    </w:p>
    <w:p>
      <w:pPr>
        <w:pStyle w:val="17"/>
        <w:ind w:firstLine="964"/>
        <w:rPr>
          <w:rFonts w:ascii="仿宋_GB2312" w:eastAsia="仿宋_GB2312"/>
          <w:b/>
          <w:sz w:val="48"/>
          <w:szCs w:val="48"/>
          <w:highlight w:val="none"/>
        </w:rPr>
      </w:pPr>
      <w:r>
        <w:rPr>
          <w:rFonts w:hint="eastAsia" w:ascii="宋体" w:hAnsi="宋体" w:cs="Arial"/>
          <w:bCs/>
          <w:kern w:val="0"/>
          <w:sz w:val="24"/>
        </w:rPr>
        <w:t xml:space="preserve">                             </w:t>
      </w:r>
      <w:r>
        <w:rPr>
          <w:rFonts w:hint="eastAsia" w:ascii="宋体" w:hAnsi="宋体" w:cs="Arial"/>
          <w:bCs/>
          <w:kern w:val="0"/>
          <w:sz w:val="24"/>
          <w:lang w:val="en-US" w:eastAsia="zh-CN"/>
        </w:rPr>
        <w:t xml:space="preserve">         </w:t>
      </w:r>
      <w:r>
        <w:rPr>
          <w:rFonts w:hint="eastAsia" w:ascii="宋体" w:hAnsi="宋体" w:cs="Arial"/>
          <w:bCs/>
          <w:kern w:val="0"/>
          <w:sz w:val="24"/>
        </w:rPr>
        <w:t xml:space="preserve">  日期：</w:t>
      </w:r>
      <w:r>
        <w:rPr>
          <w:rFonts w:hint="eastAsia" w:ascii="宋体" w:hAnsi="宋体" w:cs="Arial"/>
          <w:bCs/>
          <w:kern w:val="0"/>
          <w:sz w:val="24"/>
          <w:u w:val="single"/>
        </w:rPr>
        <w:t xml:space="preserve">                  </w:t>
      </w:r>
      <w:r>
        <w:rPr>
          <w:rFonts w:hint="eastAsia" w:ascii="宋体" w:hAnsi="宋体" w:cs="Arial"/>
          <w:bCs/>
          <w:kern w:val="0"/>
          <w:sz w:val="24"/>
        </w:rPr>
        <w:t xml:space="preserve"> </w:t>
      </w:r>
    </w:p>
    <w:p>
      <w:pPr>
        <w:pStyle w:val="17"/>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ind w:firstLine="1606" w:firstLineChars="500"/>
        <w:jc w:val="both"/>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7"/>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7、业绩证明</w:t>
      </w:r>
    </w:p>
    <w:tbl>
      <w:tblPr>
        <w:tblStyle w:val="18"/>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pStyle w:val="7"/>
        <w:spacing w:line="600" w:lineRule="exact"/>
        <w:ind w:firstLine="420" w:firstLineChars="200"/>
        <w:rPr>
          <w:rFonts w:ascii="仿宋_GB2312" w:hAnsi="宋体" w:eastAsia="仿宋_GB2312"/>
          <w:b/>
          <w:sz w:val="32"/>
          <w:szCs w:val="32"/>
          <w:highlight w:val="none"/>
        </w:rPr>
      </w:pPr>
      <w:r>
        <w:rPr>
          <w:rFonts w:hint="eastAsia" w:ascii="宋体" w:hAnsi="宋体"/>
          <w:szCs w:val="21"/>
        </w:rPr>
        <w:t>报价人自202</w:t>
      </w:r>
      <w:r>
        <w:rPr>
          <w:rFonts w:hint="eastAsia" w:ascii="宋体" w:hAnsi="宋体"/>
          <w:szCs w:val="21"/>
          <w:lang w:val="en-US" w:eastAsia="zh-CN"/>
        </w:rPr>
        <w:t>1</w:t>
      </w:r>
      <w:r>
        <w:rPr>
          <w:rFonts w:hint="eastAsia" w:ascii="宋体" w:hAnsi="宋体"/>
          <w:szCs w:val="21"/>
        </w:rPr>
        <w:t>年1月1日起至报价文件递交截止之日，</w:t>
      </w:r>
      <w:r>
        <w:rPr>
          <w:rFonts w:hint="eastAsia" w:ascii="宋体" w:hAnsi="宋体"/>
          <w:bCs/>
          <w:szCs w:val="21"/>
          <w:shd w:val="clear" w:color="auto" w:fill="FFFFFF"/>
        </w:rPr>
        <w:t>完成单个合</w:t>
      </w:r>
      <w:r>
        <w:rPr>
          <w:rFonts w:hint="eastAsia" w:ascii="宋体" w:hAnsi="宋体"/>
          <w:bCs/>
          <w:szCs w:val="21"/>
          <w:highlight w:val="none"/>
          <w:shd w:val="clear" w:color="auto" w:fill="FFFFFF"/>
        </w:rPr>
        <w:t>同金额</w:t>
      </w:r>
      <w:r>
        <w:rPr>
          <w:rFonts w:hint="eastAsia" w:ascii="宋体" w:hAnsi="宋体"/>
          <w:bCs/>
          <w:szCs w:val="21"/>
          <w:highlight w:val="none"/>
          <w:shd w:val="clear" w:color="auto" w:fill="FFFFFF"/>
          <w:lang w:val="en-US" w:eastAsia="zh-CN"/>
        </w:rPr>
        <w:t>8</w:t>
      </w:r>
      <w:r>
        <w:rPr>
          <w:rFonts w:hint="eastAsia" w:ascii="宋体" w:hAnsi="宋体"/>
          <w:bCs/>
          <w:szCs w:val="21"/>
          <w:highlight w:val="none"/>
          <w:shd w:val="clear" w:color="auto" w:fill="FFFFFF"/>
        </w:rPr>
        <w:t>0-</w:t>
      </w:r>
      <w:r>
        <w:rPr>
          <w:rFonts w:hint="eastAsia" w:ascii="宋体" w:hAnsi="宋体"/>
          <w:bCs/>
          <w:szCs w:val="21"/>
          <w:highlight w:val="none"/>
          <w:shd w:val="clear" w:color="auto" w:fill="FFFFFF"/>
          <w:lang w:val="en-US" w:eastAsia="zh-CN"/>
        </w:rPr>
        <w:t>15</w:t>
      </w:r>
      <w:r>
        <w:rPr>
          <w:rFonts w:hint="eastAsia" w:ascii="宋体" w:hAnsi="宋体"/>
          <w:bCs/>
          <w:szCs w:val="21"/>
          <w:highlight w:val="none"/>
          <w:shd w:val="clear" w:color="auto" w:fill="FFFFFF"/>
        </w:rPr>
        <w:t>0万元（含）的在已运营高速公路上实施的</w:t>
      </w:r>
      <w:r>
        <w:rPr>
          <w:rFonts w:hint="eastAsia" w:ascii="宋体" w:hAnsi="宋体"/>
          <w:bCs/>
          <w:szCs w:val="21"/>
          <w:highlight w:val="none"/>
          <w:shd w:val="clear" w:color="auto" w:fill="FFFFFF"/>
          <w:lang w:val="en-US" w:eastAsia="zh-CN"/>
        </w:rPr>
        <w:t>路基工程</w:t>
      </w:r>
      <w:r>
        <w:rPr>
          <w:rFonts w:hint="eastAsia"/>
          <w:szCs w:val="21"/>
          <w:highlight w:val="none"/>
          <w:lang w:val="en-US" w:eastAsia="zh-CN"/>
        </w:rPr>
        <w:t>，每1项得1分，得分最高4分；</w:t>
      </w:r>
      <w:r>
        <w:rPr>
          <w:rFonts w:hint="eastAsia" w:ascii="宋体" w:hAnsi="宋体"/>
          <w:bCs/>
          <w:szCs w:val="21"/>
          <w:shd w:val="clear" w:color="auto" w:fill="FFFFFF"/>
        </w:rPr>
        <w:t>完成单个合</w:t>
      </w:r>
      <w:r>
        <w:rPr>
          <w:rFonts w:hint="eastAsia" w:ascii="宋体" w:hAnsi="宋体"/>
          <w:bCs/>
          <w:szCs w:val="21"/>
          <w:highlight w:val="none"/>
          <w:shd w:val="clear" w:color="auto" w:fill="FFFFFF"/>
        </w:rPr>
        <w:t>同金额</w:t>
      </w:r>
      <w:r>
        <w:rPr>
          <w:rFonts w:hint="eastAsia" w:ascii="宋体" w:hAnsi="宋体"/>
          <w:bCs/>
          <w:szCs w:val="21"/>
          <w:highlight w:val="none"/>
          <w:shd w:val="clear" w:color="auto" w:fill="FFFFFF"/>
          <w:lang w:val="en-US" w:eastAsia="zh-CN"/>
        </w:rPr>
        <w:t>15</w:t>
      </w:r>
      <w:r>
        <w:rPr>
          <w:rFonts w:hint="eastAsia" w:ascii="宋体" w:hAnsi="宋体"/>
          <w:bCs/>
          <w:szCs w:val="21"/>
          <w:highlight w:val="none"/>
          <w:shd w:val="clear" w:color="auto" w:fill="FFFFFF"/>
        </w:rPr>
        <w:t>0万元</w:t>
      </w:r>
      <w:r>
        <w:rPr>
          <w:rFonts w:hint="eastAsia" w:ascii="宋体" w:hAnsi="宋体"/>
          <w:bCs/>
          <w:szCs w:val="21"/>
          <w:highlight w:val="none"/>
          <w:shd w:val="clear" w:color="auto" w:fill="FFFFFF"/>
          <w:lang w:val="en-US" w:eastAsia="zh-CN"/>
        </w:rPr>
        <w:t>以上</w:t>
      </w:r>
      <w:r>
        <w:rPr>
          <w:rFonts w:hint="eastAsia" w:ascii="宋体" w:hAnsi="宋体"/>
          <w:bCs/>
          <w:szCs w:val="21"/>
          <w:highlight w:val="none"/>
          <w:shd w:val="clear" w:color="auto" w:fill="FFFFFF"/>
        </w:rPr>
        <w:t>的在已运营高速公路上实施的</w:t>
      </w:r>
      <w:r>
        <w:rPr>
          <w:rFonts w:hint="eastAsia" w:ascii="宋体" w:hAnsi="宋体"/>
          <w:bCs/>
          <w:szCs w:val="21"/>
          <w:highlight w:val="none"/>
          <w:shd w:val="clear" w:color="auto" w:fill="FFFFFF"/>
          <w:lang w:val="en-US" w:eastAsia="zh-CN"/>
        </w:rPr>
        <w:t>路基工程，</w:t>
      </w:r>
      <w:r>
        <w:rPr>
          <w:rFonts w:hint="eastAsia"/>
          <w:szCs w:val="21"/>
          <w:highlight w:val="none"/>
          <w:lang w:val="en-US" w:eastAsia="zh-CN"/>
        </w:rPr>
        <w:t>每1项得1.5分，</w:t>
      </w:r>
      <w:r>
        <w:rPr>
          <w:rFonts w:ascii="宋体" w:hAnsi="宋体"/>
          <w:bCs/>
          <w:szCs w:val="21"/>
          <w:highlight w:val="none"/>
          <w:shd w:val="clear" w:color="auto" w:fill="FFFFFF"/>
        </w:rPr>
        <w:t>最高得</w:t>
      </w:r>
      <w:r>
        <w:rPr>
          <w:rFonts w:hint="eastAsia" w:ascii="宋体" w:hAnsi="宋体"/>
          <w:bCs/>
          <w:szCs w:val="21"/>
          <w:highlight w:val="none"/>
          <w:shd w:val="clear" w:color="auto" w:fill="FFFFFF"/>
          <w:lang w:val="en-US" w:eastAsia="zh-CN"/>
        </w:rPr>
        <w:t>3</w:t>
      </w:r>
      <w:r>
        <w:rPr>
          <w:rFonts w:ascii="宋体" w:hAnsi="宋体"/>
          <w:bCs/>
          <w:szCs w:val="21"/>
          <w:highlight w:val="none"/>
          <w:shd w:val="clear" w:color="auto" w:fill="FFFFFF"/>
        </w:rPr>
        <w:t>分</w:t>
      </w:r>
      <w:r>
        <w:rPr>
          <w:rFonts w:hint="eastAsia" w:ascii="宋体" w:hAnsi="宋体"/>
          <w:bCs/>
          <w:szCs w:val="21"/>
          <w:highlight w:val="none"/>
          <w:shd w:val="clear" w:color="auto" w:fill="FFFFFF"/>
          <w:lang w:eastAsia="zh-CN"/>
        </w:rPr>
        <w:t>。</w:t>
      </w:r>
      <w:r>
        <w:rPr>
          <w:rFonts w:hint="eastAsia" w:ascii="宋体" w:hAnsi="宋体"/>
          <w:bCs/>
          <w:szCs w:val="21"/>
          <w:highlight w:val="none"/>
          <w:shd w:val="clear" w:color="auto" w:fill="FFFFFF"/>
          <w:lang w:val="en-US" w:eastAsia="zh-CN"/>
        </w:rPr>
        <w:t>以</w:t>
      </w:r>
      <w:r>
        <w:rPr>
          <w:rFonts w:hint="eastAsia"/>
          <w:szCs w:val="21"/>
          <w:highlight w:val="none"/>
          <w:lang w:val="en-US" w:eastAsia="zh-CN"/>
        </w:rPr>
        <w:t>上时间以结算时间为准，同一项目只加一次分。</w:t>
      </w:r>
      <w:r>
        <w:rPr>
          <w:rFonts w:ascii="宋体" w:hAnsi="宋体"/>
          <w:szCs w:val="21"/>
          <w:highlight w:val="none"/>
        </w:rPr>
        <w:t>以</w:t>
      </w:r>
      <w:r>
        <w:rPr>
          <w:rFonts w:hint="eastAsia" w:ascii="宋体" w:hAnsi="宋体"/>
          <w:szCs w:val="21"/>
          <w:highlight w:val="none"/>
        </w:rPr>
        <w:t>报价人</w:t>
      </w:r>
      <w:r>
        <w:rPr>
          <w:rFonts w:ascii="宋体" w:hAnsi="宋体"/>
          <w:szCs w:val="21"/>
          <w:highlight w:val="none"/>
        </w:rPr>
        <w:t>提供的施工</w:t>
      </w:r>
      <w:r>
        <w:rPr>
          <w:rFonts w:hint="eastAsia" w:ascii="宋体" w:hAnsi="宋体"/>
          <w:szCs w:val="21"/>
          <w:highlight w:val="none"/>
        </w:rPr>
        <w:t>合同</w:t>
      </w:r>
      <w:r>
        <w:rPr>
          <w:rFonts w:ascii="宋体" w:hAnsi="宋体"/>
          <w:szCs w:val="21"/>
          <w:highlight w:val="none"/>
        </w:rPr>
        <w:t>及全国公路建设市场信用信息管理系统</w:t>
      </w:r>
      <w:r>
        <w:rPr>
          <w:rFonts w:ascii="宋体" w:hAnsi="宋体"/>
          <w:szCs w:val="21"/>
        </w:rPr>
        <w:t>（http://glxy.mot.gov.cn/）中登记的业绩信息网页截图作为证明材料，若</w:t>
      </w:r>
      <w:r>
        <w:rPr>
          <w:rFonts w:hint="eastAsia" w:ascii="宋体" w:hAnsi="宋体"/>
          <w:szCs w:val="21"/>
        </w:rPr>
        <w:t>报价人</w:t>
      </w:r>
      <w:r>
        <w:rPr>
          <w:rFonts w:ascii="宋体" w:hAnsi="宋体"/>
          <w:szCs w:val="21"/>
        </w:rPr>
        <w:t>提供的业绩未在全国公路建设市场信用信息管理系统中登记，应提供施工合同</w:t>
      </w:r>
      <w:r>
        <w:rPr>
          <w:rFonts w:hint="eastAsia" w:ascii="宋体" w:hAnsi="宋体"/>
          <w:szCs w:val="21"/>
        </w:rPr>
        <w:t>（含标价的工程量清单）、甲方签认的结算资料或交工验收资料等相关</w:t>
      </w:r>
      <w:r>
        <w:rPr>
          <w:rFonts w:ascii="宋体" w:hAnsi="宋体"/>
          <w:szCs w:val="21"/>
        </w:rPr>
        <w:t>证明材料为准</w:t>
      </w:r>
      <w:r>
        <w:rPr>
          <w:rFonts w:hint="eastAsia" w:ascii="宋体" w:hAnsi="宋体"/>
          <w:szCs w:val="21"/>
        </w:rPr>
        <w:t>（时间以结算签认时间为准）</w:t>
      </w:r>
      <w:r>
        <w:rPr>
          <w:rFonts w:ascii="宋体" w:hAnsi="宋体"/>
          <w:szCs w:val="21"/>
        </w:rPr>
        <w:t>，否则不予认定。</w:t>
      </w: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ascii="仿宋_GB2312" w:hAnsi="宋体" w:eastAsia="仿宋_GB2312"/>
          <w:b/>
          <w:sz w:val="32"/>
          <w:szCs w:val="32"/>
          <w:highlight w:val="none"/>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ascii="仿宋_GB2312" w:hAnsi="宋体" w:eastAsia="仿宋_GB2312"/>
          <w:b/>
          <w:sz w:val="32"/>
          <w:szCs w:val="32"/>
          <w:highlight w:val="none"/>
        </w:rPr>
      </w:pPr>
    </w:p>
    <w:p>
      <w:pPr>
        <w:pStyle w:val="8"/>
        <w:pBdr>
          <w:top w:val="none" w:color="auto" w:sz="0" w:space="0"/>
          <w:left w:val="none" w:color="auto" w:sz="0" w:space="0"/>
          <w:bottom w:val="none" w:color="auto" w:sz="0" w:space="0"/>
          <w:right w:val="none" w:color="auto" w:sz="0" w:space="0"/>
          <w:between w:val="none" w:color="auto" w:sz="0" w:space="0"/>
        </w:pBdr>
        <w:ind w:firstLine="0"/>
        <w:rPr>
          <w:rFonts w:ascii="仿宋_GB2312" w:hAnsi="宋体" w:eastAsia="仿宋_GB2312"/>
          <w:b/>
          <w:sz w:val="32"/>
          <w:szCs w:val="32"/>
          <w:highlight w:val="none"/>
        </w:rPr>
      </w:pPr>
    </w:p>
    <w:p>
      <w:pPr>
        <w:pStyle w:val="8"/>
        <w:pBdr>
          <w:top w:val="none" w:color="auto" w:sz="0" w:space="0"/>
          <w:left w:val="none" w:color="auto" w:sz="0" w:space="0"/>
          <w:bottom w:val="none" w:color="auto" w:sz="0" w:space="0"/>
          <w:right w:val="none" w:color="auto" w:sz="0" w:space="0"/>
          <w:between w:val="none" w:color="auto" w:sz="0" w:space="0"/>
        </w:pBdr>
        <w:ind w:firstLine="0"/>
        <w:rPr>
          <w:rFonts w:ascii="仿宋_GB2312" w:hAnsi="宋体" w:eastAsia="仿宋_GB2312"/>
          <w:b/>
          <w:sz w:val="32"/>
          <w:szCs w:val="32"/>
          <w:highlight w:val="none"/>
        </w:rPr>
      </w:pPr>
    </w:p>
    <w:p>
      <w:pPr>
        <w:pStyle w:val="8"/>
        <w:pBdr>
          <w:top w:val="none" w:color="auto" w:sz="0" w:space="0"/>
          <w:left w:val="none" w:color="auto" w:sz="0" w:space="0"/>
          <w:bottom w:val="none" w:color="auto" w:sz="0" w:space="0"/>
          <w:right w:val="none" w:color="auto" w:sz="0" w:space="0"/>
          <w:between w:val="none" w:color="auto" w:sz="0" w:space="0"/>
        </w:pBdr>
        <w:ind w:firstLine="0"/>
        <w:rPr>
          <w:rFonts w:ascii="仿宋_GB2312" w:hAnsi="宋体" w:eastAsia="仿宋_GB2312"/>
          <w:b/>
          <w:sz w:val="32"/>
          <w:szCs w:val="32"/>
          <w:highlight w:val="none"/>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both"/>
        <w:rPr>
          <w:rFonts w:ascii="仿宋_GB2312" w:hAnsi="宋体" w:eastAsia="仿宋_GB2312"/>
          <w:b/>
          <w:sz w:val="32"/>
          <w:szCs w:val="32"/>
          <w:highlight w:val="none"/>
        </w:rPr>
      </w:pPr>
    </w:p>
    <w:p>
      <w:pPr>
        <w:pStyle w:val="7"/>
        <w:spacing w:line="240" w:lineRule="auto"/>
        <w:ind w:firstLine="1285" w:firstLineChars="400"/>
        <w:jc w:val="left"/>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报价人信用等级情况及信用分使用情况申请表</w:t>
      </w:r>
    </w:p>
    <w:p>
      <w:pPr>
        <w:pStyle w:val="7"/>
        <w:spacing w:line="240" w:lineRule="auto"/>
        <w:ind w:firstLine="0"/>
        <w:jc w:val="left"/>
        <w:rPr>
          <w:rFonts w:hint="eastAsia"/>
          <w:sz w:val="20"/>
        </w:rPr>
      </w:pPr>
      <w:r>
        <w:rPr>
          <w:rFonts w:hint="eastAsia"/>
          <w:sz w:val="20"/>
        </w:rPr>
        <w:t>在福建省高速公路养护工程有限公司网站（网址：https://www.fjgsyh.com/）发布的</w:t>
      </w:r>
      <w:r>
        <w:rPr>
          <w:sz w:val="20"/>
        </w:rPr>
        <w:t>关于2022年度供应商信用考核结果的通报</w:t>
      </w:r>
      <w:r>
        <w:rPr>
          <w:rFonts w:hint="eastAsia"/>
          <w:sz w:val="20"/>
        </w:rPr>
        <w:t>中（细目为：</w:t>
      </w:r>
      <w:r>
        <w:rPr>
          <w:rFonts w:hint="eastAsia"/>
          <w:sz w:val="20"/>
          <w:lang w:val="en-US" w:eastAsia="zh-CN"/>
        </w:rPr>
        <w:t>其他</w:t>
      </w:r>
      <w:r>
        <w:rPr>
          <w:rFonts w:hint="eastAsia"/>
          <w:sz w:val="20"/>
        </w:rPr>
        <w:t>类）被评为A级的施工企业信用分得分为</w:t>
      </w:r>
      <w:r>
        <w:rPr>
          <w:rFonts w:hint="eastAsia"/>
          <w:sz w:val="20"/>
          <w:lang w:val="en-US" w:eastAsia="zh-CN"/>
        </w:rPr>
        <w:t>3</w:t>
      </w:r>
      <w:r>
        <w:rPr>
          <w:rFonts w:hint="eastAsia"/>
          <w:sz w:val="20"/>
        </w:rPr>
        <w:t>分。</w:t>
      </w:r>
    </w:p>
    <w:p>
      <w:pPr>
        <w:pStyle w:val="7"/>
        <w:spacing w:line="240" w:lineRule="auto"/>
        <w:ind w:firstLine="0"/>
        <w:jc w:val="left"/>
        <w:rPr>
          <w:rFonts w:hint="eastAsia"/>
          <w:sz w:val="20"/>
        </w:rPr>
      </w:pPr>
    </w:p>
    <w:tbl>
      <w:tblPr>
        <w:tblStyle w:val="1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 xml:space="preserve">其他 </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类：1...、2...、3...                           </w:t>
            </w:r>
            <w:r>
              <w:rPr>
                <w:rFonts w:hint="eastAsia"/>
                <w:szCs w:val="21"/>
              </w:rPr>
              <w:t xml:space="preserve"> 。（填写格式：在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18"/>
                <w:szCs w:val="18"/>
              </w:rPr>
            </w:pPr>
            <w:r>
              <w:rPr>
                <w:rFonts w:hint="eastAsia"/>
                <w:sz w:val="18"/>
                <w:szCs w:val="18"/>
              </w:rPr>
              <w:t>注：</w:t>
            </w:r>
          </w:p>
          <w:p>
            <w:pPr>
              <w:spacing w:line="280" w:lineRule="exact"/>
              <w:rPr>
                <w:sz w:val="18"/>
                <w:szCs w:val="18"/>
              </w:rPr>
            </w:pPr>
            <w:bookmarkStart w:id="10" w:name="_Toc304799432"/>
            <w:r>
              <w:rPr>
                <w:rFonts w:hint="eastAsia"/>
                <w:sz w:val="18"/>
                <w:szCs w:val="18"/>
              </w:rPr>
              <w:t>1.填写本表前，报价人应查询福建省高速公路养护工程有限公司网站公布的《</w:t>
            </w:r>
            <w:r>
              <w:rPr>
                <w:sz w:val="18"/>
                <w:szCs w:val="18"/>
              </w:rPr>
              <w:t>关于2022年度供应商信用考核结果的通报</w:t>
            </w:r>
            <w:r>
              <w:rPr>
                <w:rFonts w:hint="eastAsia"/>
                <w:sz w:val="18"/>
                <w:szCs w:val="18"/>
              </w:rPr>
              <w:t>》，并依据《通报》填写。</w:t>
            </w:r>
            <w:bookmarkEnd w:id="10"/>
            <w:bookmarkStart w:id="11" w:name="_Toc304799433"/>
            <w:r>
              <w:rPr>
                <w:rFonts w:hint="eastAsia"/>
                <w:sz w:val="18"/>
                <w:szCs w:val="18"/>
              </w:rPr>
              <w:t>报价人被评为C级、D级且在有效期限内的，应在备注栏如实填写。</w:t>
            </w:r>
            <w:bookmarkEnd w:id="11"/>
          </w:p>
          <w:p>
            <w:pPr>
              <w:spacing w:line="280" w:lineRule="exact"/>
              <w:rPr>
                <w:rFonts w:hint="eastAsia"/>
                <w:sz w:val="18"/>
                <w:szCs w:val="18"/>
              </w:rPr>
            </w:pPr>
            <w:bookmarkStart w:id="12"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”填写。若未填写申请使用信用分，按B级处理。未参加考核的请在备注栏直接填写“未参加考核”，信用分使用及申请栏无需填写。</w:t>
            </w:r>
            <w:bookmarkEnd w:id="12"/>
          </w:p>
          <w:p>
            <w:pPr>
              <w:spacing w:line="280" w:lineRule="exact"/>
              <w:rPr>
                <w:rFonts w:hint="eastAsia"/>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w:t>
            </w:r>
            <w:r>
              <w:rPr>
                <w:rFonts w:hint="eastAsia"/>
                <w:sz w:val="18"/>
                <w:szCs w:val="18"/>
                <w:lang w:eastAsia="zh-CN"/>
              </w:rPr>
              <w:t>（</w:t>
            </w:r>
            <w:r>
              <w:rPr>
                <w:rFonts w:hint="eastAsia"/>
                <w:sz w:val="18"/>
                <w:szCs w:val="18"/>
                <w:lang w:val="en-US" w:eastAsia="zh-CN"/>
              </w:rPr>
              <w:t>3次</w:t>
            </w:r>
            <w:r>
              <w:rPr>
                <w:rFonts w:hint="eastAsia"/>
                <w:sz w:val="18"/>
                <w:szCs w:val="18"/>
                <w:lang w:eastAsia="zh-CN"/>
              </w:rPr>
              <w:t>）</w:t>
            </w:r>
            <w:r>
              <w:rPr>
                <w:rFonts w:hint="eastAsia"/>
                <w:sz w:val="18"/>
                <w:szCs w:val="18"/>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7"/>
        <w:pBdr>
          <w:top w:val="none" w:color="auto" w:sz="0" w:space="0"/>
          <w:left w:val="none" w:color="auto" w:sz="0" w:space="0"/>
          <w:bottom w:val="none" w:color="auto" w:sz="0" w:space="0"/>
          <w:right w:val="none" w:color="auto" w:sz="0" w:space="0"/>
          <w:between w:val="none" w:color="auto" w:sz="0" w:space="0"/>
        </w:pBdr>
        <w:spacing w:line="700" w:lineRule="exact"/>
        <w:ind w:left="0" w:leftChars="0" w:firstLine="0" w:firstLineChars="0"/>
        <w:jc w:val="both"/>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jc w:val="both"/>
        <w:rPr>
          <w:rFonts w:hint="eastAsia" w:ascii="仿宋_GB2312" w:hAnsi="宋体" w:eastAsia="仿宋_GB2312"/>
          <w:b/>
          <w:sz w:val="32"/>
          <w:szCs w:val="32"/>
          <w:highlight w:val="none"/>
          <w:lang w:val="en-US" w:eastAsia="zh-CN"/>
        </w:rPr>
      </w:pPr>
    </w:p>
    <w:p>
      <w:pPr>
        <w:pStyle w:val="7"/>
        <w:spacing w:line="700" w:lineRule="exact"/>
        <w:ind w:firstLine="3534" w:firstLineChars="1100"/>
        <w:jc w:val="both"/>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、其他资料</w:t>
      </w:r>
    </w:p>
    <w:p>
      <w:pPr>
        <w:pStyle w:val="7"/>
        <w:spacing w:line="700" w:lineRule="exact"/>
        <w:ind w:firstLine="1285" w:firstLineChars="4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hint="eastAsia" w:ascii="仿宋_GB2312" w:hAnsi="宋体" w:eastAsia="仿宋_GB2312" w:cs="Times New Roman"/>
          <w:b/>
          <w:kern w:val="2"/>
          <w:sz w:val="32"/>
          <w:szCs w:val="32"/>
          <w:highlight w:val="none"/>
          <w:lang w:val="en-US" w:eastAsia="zh-CN" w:bidi="ar-SA"/>
        </w:rPr>
      </w:pPr>
    </w:p>
    <w:p>
      <w:pPr>
        <w:pStyle w:val="6"/>
        <w:jc w:val="center"/>
        <w:rPr>
          <w:rFonts w:ascii="仿宋_GB2312" w:eastAsia="仿宋_GB2312"/>
          <w:sz w:val="48"/>
          <w:szCs w:val="48"/>
          <w:highlight w:val="none"/>
        </w:rPr>
      </w:pPr>
      <w:r>
        <w:rPr>
          <w:rFonts w:hint="eastAsia" w:ascii="仿宋_GB2312" w:hAnsi="宋体" w:eastAsia="仿宋_GB2312" w:cs="Times New Roman"/>
          <w:b/>
          <w:kern w:val="2"/>
          <w:sz w:val="32"/>
          <w:szCs w:val="32"/>
          <w:highlight w:val="none"/>
          <w:lang w:val="en-US" w:eastAsia="zh-CN" w:bidi="ar-SA"/>
        </w:rPr>
        <w:t>10、退还报价保证金承诺书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w:t>
      </w:r>
      <w:r>
        <w:rPr>
          <w:rFonts w:hint="eastAsia" w:ascii="仿宋_GB2312" w:eastAsia="仿宋_GB2312"/>
          <w:sz w:val="24"/>
          <w:highlight w:val="none"/>
          <w:u w:val="single"/>
          <w:lang w:val="en-US" w:eastAsia="zh-CN"/>
        </w:rPr>
        <w:t>4</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w:t>
      </w:r>
      <w:r>
        <w:rPr>
          <w:rFonts w:hint="eastAsia" w:ascii="仿宋_GB2312" w:eastAsia="仿宋_GB2312"/>
          <w:sz w:val="24"/>
          <w:highlight w:val="none"/>
          <w:lang w:val="en-US" w:eastAsia="zh-CN"/>
        </w:rPr>
        <w:t>4</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pPr>
        <w:ind w:left="-60"/>
      </w:pPr>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7"/>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lvlText w:val="%1."/>
      <w:lvlJc w:val="left"/>
      <w:pPr>
        <w:tabs>
          <w:tab w:val="left" w:pos="312"/>
        </w:tabs>
      </w:pPr>
    </w:lvl>
  </w:abstractNum>
  <w:abstractNum w:abstractNumId="7">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B"/>
    <w:multiLevelType w:val="singleLevel"/>
    <w:tmpl w:val="0000000B"/>
    <w:lvl w:ilvl="0" w:tentative="0">
      <w:start w:val="1"/>
      <w:numFmt w:val="decimal"/>
      <w:suff w:val="nothing"/>
      <w:lvlText w:val="（%1）"/>
      <w:lvlJc w:val="left"/>
    </w:lvl>
  </w:abstractNum>
  <w:abstractNum w:abstractNumId="9">
    <w:nsid w:val="0000000C"/>
    <w:multiLevelType w:val="singleLevel"/>
    <w:tmpl w:val="0000000C"/>
    <w:lvl w:ilvl="0" w:tentative="0">
      <w:start w:val="9"/>
      <w:numFmt w:val="chineseCounting"/>
      <w:suff w:val="nothing"/>
      <w:lvlText w:val="%1、"/>
      <w:lvlJc w:val="left"/>
      <w:rPr>
        <w:rFonts w:hint="eastAsia"/>
      </w:rPr>
    </w:lvl>
  </w:abstractNum>
  <w:num w:numId="1">
    <w:abstractNumId w:val="7"/>
  </w:num>
  <w:num w:numId="2">
    <w:abstractNumId w:val="5"/>
  </w:num>
  <w:num w:numId="3">
    <w:abstractNumId w:val="9"/>
  </w:num>
  <w:num w:numId="4">
    <w:abstractNumId w:val="3"/>
  </w:num>
  <w:num w:numId="5">
    <w:abstractNumId w:val="0"/>
  </w:num>
  <w:num w:numId="6">
    <w:abstractNumId w:val="2"/>
  </w:num>
  <w:num w:numId="7">
    <w:abstractNumId w:val="8"/>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3B7993"/>
    <w:rsid w:val="0E8D2FC0"/>
    <w:rsid w:val="17AC3B38"/>
    <w:rsid w:val="25AD1D69"/>
    <w:rsid w:val="2B8418C2"/>
    <w:rsid w:val="2F3F16CD"/>
    <w:rsid w:val="33C2680F"/>
    <w:rsid w:val="351D3DB6"/>
    <w:rsid w:val="35E6210E"/>
    <w:rsid w:val="3B1F68D0"/>
    <w:rsid w:val="3F8D7FCE"/>
    <w:rsid w:val="41100EFB"/>
    <w:rsid w:val="46067C71"/>
    <w:rsid w:val="4AC674B5"/>
    <w:rsid w:val="541A6754"/>
    <w:rsid w:val="589079C6"/>
    <w:rsid w:val="5C7A006C"/>
    <w:rsid w:val="5D202F42"/>
    <w:rsid w:val="68BF74CC"/>
    <w:rsid w:val="6B9F54F8"/>
    <w:rsid w:val="6BBE4C48"/>
    <w:rsid w:val="6CAA5943"/>
    <w:rsid w:val="6EFF3807"/>
    <w:rsid w:val="720F0BEC"/>
    <w:rsid w:val="75293FB7"/>
    <w:rsid w:val="762E3C49"/>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autoRedefine/>
    <w:qFormat/>
    <w:uiPriority w:val="0"/>
    <w:pPr>
      <w:keepNext/>
      <w:keepLines/>
      <w:spacing w:before="260" w:after="260" w:line="413" w:lineRule="auto"/>
      <w:outlineLvl w:val="2"/>
    </w:pPr>
    <w:rPr>
      <w:b/>
      <w:sz w:val="32"/>
    </w:rPr>
  </w:style>
  <w:style w:type="character" w:default="1" w:styleId="19">
    <w:name w:val="Default Paragraph Font"/>
    <w:autoRedefine/>
    <w:qFormat/>
    <w:uiPriority w:val="1"/>
  </w:style>
  <w:style w:type="table" w:default="1" w:styleId="18">
    <w:name w:val="Normal Table"/>
    <w:autoRedefine/>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880"/>
    </w:pPr>
    <w:rPr>
      <w:rFonts w:eastAsia="微软雅黑"/>
    </w:rPr>
  </w:style>
  <w:style w:type="paragraph" w:styleId="3">
    <w:name w:val="Body Text"/>
    <w:basedOn w:val="1"/>
    <w:next w:val="1"/>
    <w:autoRedefine/>
    <w:qFormat/>
    <w:uiPriority w:val="0"/>
    <w:pPr>
      <w:spacing w:after="120"/>
    </w:pPr>
  </w:style>
  <w:style w:type="paragraph" w:styleId="7">
    <w:name w:val="Normal Indent"/>
    <w:basedOn w:val="1"/>
    <w:next w:val="8"/>
    <w:autoRedefine/>
    <w:qFormat/>
    <w:uiPriority w:val="0"/>
    <w:pPr>
      <w:adjustRightInd w:val="0"/>
      <w:spacing w:line="360" w:lineRule="atLeast"/>
      <w:ind w:firstLine="420"/>
      <w:textAlignment w:val="baseline"/>
    </w:pPr>
    <w:rPr>
      <w:szCs w:val="20"/>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3"/>
    <w:autoRedefine/>
    <w:qFormat/>
    <w:uiPriority w:val="0"/>
    <w:pPr>
      <w:jc w:val="left"/>
    </w:pPr>
  </w:style>
  <w:style w:type="paragraph" w:styleId="10">
    <w:name w:val="Body Text Indent"/>
    <w:basedOn w:val="1"/>
    <w:next w:val="1"/>
    <w:autoRedefine/>
    <w:qFormat/>
    <w:uiPriority w:val="99"/>
    <w:pPr>
      <w:spacing w:after="120"/>
      <w:ind w:left="420" w:leftChars="200"/>
    </w:pPr>
    <w:rPr>
      <w:rFonts w:ascii="Calibri" w:hAnsi="Calibri"/>
      <w:kern w:val="0"/>
      <w:sz w:val="20"/>
      <w:szCs w:val="20"/>
    </w:rPr>
  </w:style>
  <w:style w:type="paragraph" w:styleId="11">
    <w:name w:val="Plain Text"/>
    <w:basedOn w:val="1"/>
    <w:autoRedefine/>
    <w:qFormat/>
    <w:uiPriority w:val="0"/>
    <w:rPr>
      <w:rFonts w:ascii="宋体" w:hAnsi="Courier New"/>
      <w:szCs w:val="21"/>
    </w:rPr>
  </w:style>
  <w:style w:type="paragraph" w:styleId="12">
    <w:name w:val="Body Text Indent 2"/>
    <w:basedOn w:val="1"/>
    <w:autoRedefine/>
    <w:qFormat/>
    <w:uiPriority w:val="0"/>
    <w:pPr>
      <w:spacing w:after="120" w:line="480" w:lineRule="auto"/>
      <w:ind w:left="420" w:leftChars="200"/>
    </w:pPr>
  </w:style>
  <w:style w:type="paragraph" w:styleId="13">
    <w:name w:val="Balloon Text"/>
    <w:basedOn w:val="1"/>
    <w:link w:val="24"/>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index 1"/>
    <w:basedOn w:val="1"/>
    <w:next w:val="1"/>
    <w:autoRedefine/>
    <w:qFormat/>
    <w:uiPriority w:val="0"/>
  </w:style>
  <w:style w:type="paragraph" w:styleId="16">
    <w:name w:val="annotation subject"/>
    <w:basedOn w:val="9"/>
    <w:next w:val="9"/>
    <w:link w:val="25"/>
    <w:autoRedefine/>
    <w:qFormat/>
    <w:uiPriority w:val="0"/>
    <w:rPr>
      <w:b/>
      <w:bCs/>
    </w:rPr>
  </w:style>
  <w:style w:type="paragraph" w:styleId="17">
    <w:name w:val="Body Text First Indent 2"/>
    <w:basedOn w:val="10"/>
    <w:next w:val="12"/>
    <w:autoRedefine/>
    <w:qFormat/>
    <w:uiPriority w:val="0"/>
    <w:pPr>
      <w:ind w:firstLine="420" w:firstLineChars="200"/>
    </w:pPr>
  </w:style>
  <w:style w:type="character" w:styleId="20">
    <w:name w:val="page number"/>
    <w:autoRedefine/>
    <w:qFormat/>
    <w:uiPriority w:val="0"/>
  </w:style>
  <w:style w:type="character" w:styleId="21">
    <w:name w:val="Hyperlink"/>
    <w:autoRedefine/>
    <w:qFormat/>
    <w:uiPriority w:val="0"/>
    <w:rPr>
      <w:color w:val="0000FF"/>
      <w:u w:val="single"/>
    </w:rPr>
  </w:style>
  <w:style w:type="character" w:styleId="22">
    <w:name w:val="annotation reference"/>
    <w:autoRedefine/>
    <w:qFormat/>
    <w:uiPriority w:val="0"/>
    <w:rPr>
      <w:sz w:val="21"/>
      <w:szCs w:val="21"/>
    </w:rPr>
  </w:style>
  <w:style w:type="character" w:customStyle="1" w:styleId="23">
    <w:name w:val="批注文字 字符"/>
    <w:link w:val="9"/>
    <w:autoRedefine/>
    <w:qFormat/>
    <w:uiPriority w:val="0"/>
    <w:rPr>
      <w:kern w:val="2"/>
      <w:sz w:val="21"/>
      <w:szCs w:val="24"/>
    </w:rPr>
  </w:style>
  <w:style w:type="character" w:customStyle="1" w:styleId="24">
    <w:name w:val="批注框文本 字符"/>
    <w:link w:val="13"/>
    <w:autoRedefine/>
    <w:qFormat/>
    <w:uiPriority w:val="0"/>
    <w:rPr>
      <w:kern w:val="2"/>
      <w:sz w:val="18"/>
      <w:szCs w:val="18"/>
    </w:rPr>
  </w:style>
  <w:style w:type="character" w:customStyle="1" w:styleId="25">
    <w:name w:val="批注主题 字符"/>
    <w:link w:val="16"/>
    <w:autoRedefine/>
    <w:qFormat/>
    <w:uiPriority w:val="0"/>
    <w:rPr>
      <w:b/>
      <w:bCs/>
      <w:kern w:val="2"/>
      <w:sz w:val="21"/>
      <w:szCs w:val="24"/>
    </w:rPr>
  </w:style>
  <w:style w:type="character" w:customStyle="1" w:styleId="26">
    <w:name w:val="font31"/>
    <w:autoRedefine/>
    <w:qFormat/>
    <w:uiPriority w:val="0"/>
    <w:rPr>
      <w:rFonts w:hint="default" w:ascii="Times New Roman" w:hAnsi="Times New Roman" w:cs="Times New Roman"/>
      <w:color w:val="000000"/>
      <w:sz w:val="22"/>
      <w:szCs w:val="22"/>
      <w:u w:val="none"/>
    </w:rPr>
  </w:style>
  <w:style w:type="character" w:customStyle="1" w:styleId="27">
    <w:name w:val="font11"/>
    <w:autoRedefine/>
    <w:qFormat/>
    <w:uiPriority w:val="0"/>
    <w:rPr>
      <w:rFonts w:hint="eastAsia" w:ascii="宋体" w:hAnsi="宋体" w:eastAsia="宋体" w:cs="宋体"/>
      <w:color w:val="000000"/>
      <w:sz w:val="22"/>
      <w:szCs w:val="22"/>
      <w:u w:val="none"/>
    </w:rPr>
  </w:style>
  <w:style w:type="character" w:customStyle="1" w:styleId="28">
    <w:name w:val="font41"/>
    <w:autoRedefine/>
    <w:qFormat/>
    <w:uiPriority w:val="0"/>
    <w:rPr>
      <w:rFonts w:hint="eastAsia" w:ascii="宋体" w:hAnsi="宋体" w:eastAsia="宋体" w:cs="宋体"/>
      <w:color w:val="000000"/>
      <w:sz w:val="22"/>
      <w:szCs w:val="22"/>
      <w:u w:val="none"/>
    </w:rPr>
  </w:style>
  <w:style w:type="character" w:customStyle="1" w:styleId="29">
    <w:name w:val="font21"/>
    <w:autoRedefine/>
    <w:qFormat/>
    <w:uiPriority w:val="0"/>
    <w:rPr>
      <w:rFonts w:hint="eastAsia" w:ascii="宋体" w:hAnsi="宋体" w:eastAsia="宋体" w:cs="宋体"/>
      <w:color w:val="000000"/>
      <w:sz w:val="18"/>
      <w:szCs w:val="18"/>
      <w:u w:val="none"/>
    </w:rPr>
  </w:style>
  <w:style w:type="paragraph" w:customStyle="1" w:styleId="30">
    <w:name w:val="Char Char9"/>
    <w:basedOn w:val="1"/>
    <w:autoRedefine/>
    <w:qFormat/>
    <w:uiPriority w:val="0"/>
    <w:rPr>
      <w:rFonts w:ascii="Calibri" w:hAnsi="Calibri"/>
    </w:rPr>
  </w:style>
  <w:style w:type="paragraph" w:customStyle="1" w:styleId="31">
    <w:name w:val="纯文本 Char"/>
    <w:basedOn w:val="1"/>
    <w:next w:val="11"/>
    <w:autoRedefine/>
    <w:qFormat/>
    <w:uiPriority w:val="0"/>
    <w:pPr>
      <w:adjustRightInd w:val="0"/>
      <w:spacing w:line="360" w:lineRule="atLeast"/>
      <w:textAlignment w:val="baseline"/>
    </w:pPr>
    <w:rPr>
      <w:rFonts w:ascii="宋体" w:hAnsi="Courier New"/>
      <w:szCs w:val="20"/>
    </w:rPr>
  </w:style>
  <w:style w:type="paragraph" w:customStyle="1" w:styleId="32">
    <w:name w:val="p0"/>
    <w:basedOn w:val="1"/>
    <w:autoRedefine/>
    <w:qFormat/>
    <w:uiPriority w:val="0"/>
    <w:pPr>
      <w:widowControl/>
    </w:pPr>
    <w:rPr>
      <w:rFonts w:ascii="Calibri" w:hAnsi="Calibri" w:cs="宋体"/>
      <w:kern w:val="0"/>
      <w:szCs w:val="21"/>
    </w:rPr>
  </w:style>
  <w:style w:type="paragraph" w:customStyle="1" w:styleId="33">
    <w:name w:val="Char Char Char 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autoRedefine/>
    <w:qFormat/>
    <w:uiPriority w:val="0"/>
    <w:rPr>
      <w:rFonts w:hint="eastAsia" w:ascii="宋体" w:hAnsi="宋体" w:eastAsia="宋体" w:cs="宋体"/>
      <w:color w:val="000000"/>
      <w:sz w:val="18"/>
      <w:szCs w:val="18"/>
      <w:u w:val="single"/>
    </w:rPr>
  </w:style>
  <w:style w:type="paragraph" w:customStyle="1" w:styleId="35">
    <w:name w:val="样式3"/>
    <w:basedOn w:val="11"/>
    <w:autoRedefine/>
    <w:qFormat/>
    <w:uiPriority w:val="0"/>
    <w:pPr>
      <w:spacing w:line="0" w:lineRule="atLeast"/>
      <w:outlineLvl w:val="0"/>
    </w:pPr>
    <w:rPr>
      <w:sz w:val="28"/>
    </w:rPr>
  </w:style>
  <w:style w:type="character" w:customStyle="1" w:styleId="36">
    <w:name w:val="font01"/>
    <w:basedOn w:val="19"/>
    <w:autoRedefine/>
    <w:qFormat/>
    <w:uiPriority w:val="0"/>
    <w:rPr>
      <w:rFonts w:hint="default" w:ascii="Arial" w:hAnsi="Arial" w:cs="Arial"/>
      <w:color w:val="000000"/>
      <w:sz w:val="22"/>
      <w:szCs w:val="22"/>
      <w:u w:val="none"/>
    </w:rPr>
  </w:style>
  <w:style w:type="paragraph" w:customStyle="1" w:styleId="37">
    <w:name w:val="Table Paragraph"/>
    <w:basedOn w:val="1"/>
    <w:autoRedefine/>
    <w:qFormat/>
    <w:uiPriority w:val="99"/>
    <w:pPr>
      <w:jc w:val="left"/>
    </w:pPr>
    <w:rPr>
      <w:rFonts w:ascii="Calibri" w:hAnsi="Calibri" w:cs="Calibri"/>
      <w:kern w:val="0"/>
      <w:sz w:val="22"/>
      <w:szCs w:val="22"/>
      <w:lang w:eastAsia="en-US"/>
    </w:rPr>
  </w:style>
  <w:style w:type="character" w:customStyle="1" w:styleId="38">
    <w:name w:val="font71"/>
    <w:autoRedefine/>
    <w:qFormat/>
    <w:uiPriority w:val="0"/>
    <w:rPr>
      <w:rFonts w:hint="eastAsia" w:ascii="宋体" w:hAnsi="宋体" w:eastAsia="宋体" w:cs="宋体"/>
      <w:b/>
      <w:color w:val="000000"/>
      <w:sz w:val="24"/>
      <w:szCs w:val="24"/>
      <w:u w:val="none"/>
    </w:rPr>
  </w:style>
  <w:style w:type="character" w:customStyle="1" w:styleId="39">
    <w:name w:val="font81"/>
    <w:autoRedefine/>
    <w:qFormat/>
    <w:uiPriority w:val="0"/>
    <w:rPr>
      <w:rFonts w:hint="eastAsia" w:ascii="宋体" w:hAnsi="宋体" w:eastAsia="宋体" w:cs="宋体"/>
      <w:color w:val="000000"/>
      <w:sz w:val="24"/>
      <w:szCs w:val="24"/>
      <w:u w:val="none"/>
    </w:rPr>
  </w:style>
  <w:style w:type="character" w:customStyle="1" w:styleId="40">
    <w:name w:val="font91"/>
    <w:autoRedefine/>
    <w:qFormat/>
    <w:uiPriority w:val="0"/>
    <w:rPr>
      <w:rFonts w:hint="default" w:ascii="Times New Roman" w:hAnsi="Times New Roman" w:cs="Times New Roman"/>
      <w:color w:val="000000"/>
      <w:sz w:val="24"/>
      <w:szCs w:val="24"/>
      <w:u w:val="none"/>
    </w:rPr>
  </w:style>
  <w:style w:type="character" w:customStyle="1" w:styleId="41">
    <w:name w:val="font61"/>
    <w:autoRedefine/>
    <w:qFormat/>
    <w:uiPriority w:val="0"/>
    <w:rPr>
      <w:rFonts w:hint="default" w:ascii="Times New Roman" w:hAnsi="Times New Roman" w:cs="Times New Roman"/>
      <w:b/>
      <w:color w:val="000000"/>
      <w:sz w:val="24"/>
      <w:szCs w:val="24"/>
      <w:u w:val="none"/>
    </w:rPr>
  </w:style>
  <w:style w:type="character" w:customStyle="1" w:styleId="42">
    <w:name w:val="font101"/>
    <w:autoRedefine/>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2</TotalTime>
  <ScaleCrop>false</ScaleCrop>
  <LinksUpToDate>false</LinksUpToDate>
  <CharactersWithSpaces>27544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华仔</cp:lastModifiedBy>
  <cp:lastPrinted>2023-03-09T05:37:00Z</cp:lastPrinted>
  <dcterms:modified xsi:type="dcterms:W3CDTF">2024-03-19T06:48:52Z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81BAB06870F94029ADB062538085224A</vt:lpwstr>
  </property>
</Properties>
</file>