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ascii="黑体" w:hAnsi="黑体" w:eastAsia="黑体"/>
          <w:sz w:val="48"/>
          <w:szCs w:val="48"/>
          <w:highlight w:val="none"/>
        </w:rPr>
      </w:pPr>
    </w:p>
    <w:p>
      <w:pPr>
        <w:pStyle w:val="15"/>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福建省高速公路服务乡村振兴典型示范路提升改造工程路灯安装</w:t>
      </w:r>
      <w:r>
        <w:rPr>
          <w:rFonts w:hint="eastAsia" w:ascii="黑体" w:hAnsi="黑体" w:eastAsia="黑体"/>
          <w:sz w:val="52"/>
          <w:szCs w:val="52"/>
          <w:highlight w:val="none"/>
        </w:rPr>
        <w:t>施工协作队伍选择</w:t>
      </w:r>
    </w:p>
    <w:p>
      <w:pPr>
        <w:pStyle w:val="15"/>
        <w:ind w:left="0" w:leftChars="0" w:firstLine="0" w:firstLineChars="0"/>
        <w:jc w:val="center"/>
        <w:rPr>
          <w:rFonts w:ascii="黑体" w:hAnsi="黑体" w:eastAsia="黑体"/>
          <w:sz w:val="52"/>
          <w:szCs w:val="52"/>
          <w:highlight w:val="none"/>
        </w:rPr>
      </w:pPr>
    </w:p>
    <w:p>
      <w:pPr>
        <w:pStyle w:val="10"/>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15"/>
        <w:ind w:firstLine="400"/>
        <w:rPr>
          <w:highlight w:val="none"/>
        </w:rPr>
      </w:pPr>
    </w:p>
    <w:p>
      <w:pPr>
        <w:pStyle w:val="15"/>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XM2-2023-LW-005</w:t>
      </w:r>
      <w:r>
        <w:rPr>
          <w:rFonts w:hint="eastAsia" w:ascii="仿宋_GB2312" w:hAnsi="宋体" w:eastAsia="仿宋_GB2312"/>
          <w:b/>
          <w:bCs/>
          <w:sz w:val="40"/>
          <w:szCs w:val="40"/>
          <w:highlight w:val="none"/>
        </w:rPr>
        <w:t xml:space="preserve"> </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15"/>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4</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0"/>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福建省高速公路服务乡村振兴典型示范路提升改造工程路灯安装</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XM2-2023-LW-005</w:t>
      </w:r>
      <w:r>
        <w:rPr>
          <w:rFonts w:hint="eastAsia" w:eastAsia="仿宋"/>
          <w:sz w:val="28"/>
          <w:szCs w:val="28"/>
          <w:highlight w:val="none"/>
          <w:u w:val="single"/>
        </w:rPr>
        <w:t xml:space="preserve"> </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福建省高速公路服务乡村振兴典型示范路提升改造工程路灯安装</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u w:val="single"/>
          <w:lang w:eastAsia="zh-CN"/>
        </w:rPr>
        <w:t>厦蓉高速龙长段</w:t>
      </w:r>
      <w:r>
        <w:rPr>
          <w:rFonts w:hint="eastAsia" w:eastAsia="仿宋"/>
          <w:sz w:val="28"/>
          <w:szCs w:val="28"/>
          <w:highlight w:val="none"/>
          <w:u w:val="single"/>
        </w:rPr>
        <w:t>沿线；</w:t>
      </w:r>
    </w:p>
    <w:p>
      <w:pPr>
        <w:spacing w:line="400" w:lineRule="exact"/>
        <w:ind w:firstLine="560" w:firstLineChars="200"/>
        <w:jc w:val="left"/>
        <w:rPr>
          <w:rFonts w:hint="default" w:eastAsia="仿宋"/>
          <w:sz w:val="28"/>
          <w:szCs w:val="28"/>
          <w:highlight w:val="none"/>
          <w:u w:val="single"/>
          <w:lang w:val="en-US" w:eastAsia="zh-CN"/>
        </w:rPr>
      </w:pPr>
      <w:r>
        <w:rPr>
          <w:rFonts w:hint="eastAsia" w:eastAsia="仿宋"/>
          <w:sz w:val="28"/>
          <w:szCs w:val="28"/>
          <w:highlight w:val="none"/>
          <w:u w:val="single"/>
        </w:rPr>
        <w:t>合同包主要工程量暂定为</w:t>
      </w:r>
      <w:r>
        <w:rPr>
          <w:rFonts w:hint="eastAsia" w:eastAsia="仿宋"/>
          <w:sz w:val="28"/>
          <w:szCs w:val="28"/>
          <w:highlight w:val="none"/>
          <w:u w:val="single"/>
          <w:lang w:val="en-US" w:eastAsia="zh-CN"/>
        </w:rPr>
        <w:t xml:space="preserve">：缆线安装(YJV-5*16) 1497m，缆线安装(YJV-0.6/1KV 2*4)  12580m，10m单臂路灯安装98根，配电箱安装4套，镀锌钢管SC50安装1500m，安装PVC管3500m，接地连接线m，接地装置98根，砖砌手孔井66个，挖沟槽土方1258m³，路基填方(利用土方填筑)1186m³，垫层（厚度15cm）1186㎡。 </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1273626</w:t>
      </w:r>
      <w:r>
        <w:rPr>
          <w:rFonts w:hint="eastAsia" w:ascii="Calibri" w:hAnsi="Calibri" w:eastAsia="仿宋"/>
          <w:sz w:val="28"/>
          <w:szCs w:val="28"/>
          <w:highlight w:val="none"/>
        </w:rPr>
        <w:t>元。</w:t>
      </w:r>
    </w:p>
    <w:p>
      <w:pPr>
        <w:pStyle w:val="30"/>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20个日历天。</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20" w:lineRule="exact"/>
        <w:ind w:firstLine="560" w:firstLineChars="200"/>
        <w:rPr>
          <w:highlight w:val="magenta"/>
        </w:rPr>
      </w:pPr>
      <w:r>
        <w:rPr>
          <w:rFonts w:hint="eastAsia" w:ascii="Times New Roman" w:hAnsi="Times New Roman" w:eastAsia="仿宋" w:cs="Times New Roman"/>
          <w:b w:val="0"/>
          <w:bCs w:val="0"/>
          <w:kern w:val="2"/>
          <w:sz w:val="28"/>
          <w:szCs w:val="28"/>
          <w:highlight w:val="none"/>
          <w:lang w:val="en-US" w:eastAsia="zh-CN" w:bidi="ar-SA"/>
        </w:rPr>
        <w:t>1、</w:t>
      </w:r>
      <w:r>
        <w:rPr>
          <w:rFonts w:hint="eastAsia" w:eastAsia="仿宋"/>
          <w:sz w:val="28"/>
          <w:szCs w:val="28"/>
        </w:rPr>
        <w:t>须具备合格有效的企业法人营业执照，并具有独立法人资格。具备</w:t>
      </w:r>
      <w:r>
        <w:rPr>
          <w:rFonts w:hint="eastAsia" w:ascii="Times New Roman" w:hAnsi="Times New Roman" w:eastAsia="仿宋" w:cs="Times New Roman"/>
          <w:b w:val="0"/>
          <w:bCs w:val="0"/>
          <w:kern w:val="2"/>
          <w:sz w:val="28"/>
          <w:szCs w:val="28"/>
          <w:highlight w:val="none"/>
          <w:lang w:val="en-US" w:eastAsia="zh-CN" w:bidi="ar-SA"/>
        </w:rPr>
        <w:t>城市及道路照明工程专业承包叁级及以上资质。</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2</w:t>
      </w:r>
      <w:r>
        <w:rPr>
          <w:rFonts w:hint="eastAsia" w:ascii="Times New Roman" w:hAnsi="Times New Roman" w:eastAsia="仿宋" w:cs="Times New Roman"/>
          <w:b w:val="0"/>
          <w:bCs w:val="0"/>
          <w:kern w:val="2"/>
          <w:sz w:val="28"/>
          <w:szCs w:val="28"/>
          <w:highlight w:val="none"/>
          <w:lang w:val="en-US" w:eastAsia="zh-CN" w:bidi="ar-SA"/>
        </w:rPr>
        <w:t>、</w:t>
      </w:r>
      <w:r>
        <w:rPr>
          <w:rFonts w:hint="eastAsia" w:eastAsia="仿宋"/>
          <w:sz w:val="28"/>
          <w:szCs w:val="28"/>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4、在“信用中国”网站（http://www.creditchina.gov.cn/)中被列为失信被执行人的，不得参加报价。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5、本项目不接受联合体报价。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4月25日</w:t>
      </w:r>
      <w:r>
        <w:rPr>
          <w:rFonts w:hint="eastAsia" w:eastAsia="仿宋"/>
          <w:sz w:val="28"/>
          <w:szCs w:val="28"/>
          <w:highlight w:val="none"/>
        </w:rPr>
        <w:t>至2023年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27</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4月28日9</w:t>
      </w:r>
      <w:r>
        <w:rPr>
          <w:rFonts w:hint="eastAsia" w:eastAsia="仿宋"/>
          <w:sz w:val="28"/>
          <w:szCs w:val="28"/>
          <w:highlight w:val="none"/>
        </w:rPr>
        <w:t>时</w:t>
      </w:r>
      <w:r>
        <w:rPr>
          <w:rFonts w:hint="eastAsia" w:eastAsia="仿宋"/>
          <w:sz w:val="28"/>
          <w:szCs w:val="28"/>
          <w:highlight w:val="none"/>
          <w:lang w:val="en-US" w:eastAsia="zh-CN"/>
        </w:rPr>
        <w:t>0</w:t>
      </w:r>
      <w:r>
        <w:rPr>
          <w:rFonts w:hint="eastAsia" w:eastAsia="仿宋"/>
          <w:sz w:val="28"/>
          <w:szCs w:val="28"/>
          <w:highlight w:val="none"/>
        </w:rPr>
        <w:t>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4月28日9</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19"/>
          <w:rFonts w:hint="eastAsia" w:eastAsia="仿宋"/>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伍仟</w:t>
      </w:r>
      <w:r>
        <w:rPr>
          <w:rFonts w:hint="eastAsia" w:eastAsia="仿宋"/>
          <w:sz w:val="28"/>
          <w:szCs w:val="28"/>
          <w:highlight w:val="none"/>
        </w:rPr>
        <w:t>元整（¥</w:t>
      </w:r>
      <w:r>
        <w:rPr>
          <w:rFonts w:hint="eastAsia" w:eastAsia="仿宋"/>
          <w:sz w:val="28"/>
          <w:szCs w:val="28"/>
          <w:highlight w:val="none"/>
          <w:lang w:val="en-US" w:eastAsia="zh-CN"/>
        </w:rPr>
        <w:t>5</w:t>
      </w:r>
      <w:r>
        <w:rPr>
          <w:rFonts w:hint="eastAsia" w:eastAsia="仿宋"/>
          <w:sz w:val="28"/>
          <w:szCs w:val="28"/>
          <w:highlight w:val="none"/>
        </w:rPr>
        <w:t>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27</w:t>
      </w:r>
      <w:r>
        <w:rPr>
          <w:rFonts w:hint="eastAsia" w:eastAsia="仿宋"/>
          <w:sz w:val="28"/>
          <w:szCs w:val="28"/>
          <w:highlight w:val="none"/>
        </w:rPr>
        <w:t>日17：00前缴交，转账备注“</w:t>
      </w:r>
      <w:r>
        <w:rPr>
          <w:rFonts w:hint="eastAsia" w:eastAsia="仿宋"/>
          <w:sz w:val="28"/>
          <w:szCs w:val="28"/>
          <w:highlight w:val="none"/>
          <w:lang w:eastAsia="zh-CN"/>
        </w:rPr>
        <w:t>XM2-2023-LW-005</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highlight w:val="none"/>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10"/>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hint="eastAsia" w:eastAsia="仿宋"/>
          <w:sz w:val="28"/>
          <w:szCs w:val="28"/>
          <w:highlight w:val="none"/>
          <w:u w:val="singl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3"/>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5"/>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福建省高速公路服务乡村振兴典型示范路提升改造工程路灯安装</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000000"/>
                <w:sz w:val="24"/>
                <w:highlight w:val="none"/>
                <w:lang w:eastAsia="zh-CN"/>
              </w:rPr>
              <w:t>厦蓉高速龙长段</w:t>
            </w:r>
            <w:r>
              <w:rPr>
                <w:rFonts w:hint="eastAsia"/>
                <w:color w:val="000000"/>
                <w:sz w:val="24"/>
                <w:highlight w:val="none"/>
              </w:rPr>
              <w:t>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20个日历天。</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rFonts w:hint="eastAsia"/>
                <w:b/>
                <w:color w:val="000000"/>
                <w:sz w:val="24"/>
                <w:highlight w:val="none"/>
              </w:rPr>
            </w:pPr>
            <w:r>
              <w:rPr>
                <w:b/>
                <w:color w:val="000000"/>
                <w:sz w:val="24"/>
                <w:highlight w:val="none"/>
              </w:rPr>
              <w:t>本采购采用一次性报价。</w:t>
            </w:r>
            <w:r>
              <w:rPr>
                <w:rFonts w:hint="eastAsia"/>
                <w:b/>
                <w:color w:val="000000"/>
                <w:sz w:val="24"/>
                <w:highlight w:val="none"/>
              </w:rPr>
              <w:t>报价人可以对两个合同包进行分别报价，也可对单个合同包进行报价，但最多只能中一个合同包，同一合同包不应有两个报价，否则报价文件将被否决。</w:t>
            </w:r>
          </w:p>
          <w:p>
            <w:pPr>
              <w:spacing w:line="300" w:lineRule="exact"/>
              <w:rPr>
                <w:color w:val="000000"/>
                <w:sz w:val="24"/>
                <w:highlight w:val="none"/>
              </w:rPr>
            </w:pP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i w:val="0"/>
                <w:iCs w:val="0"/>
                <w:color w:val="000000"/>
                <w:kern w:val="0"/>
                <w:sz w:val="24"/>
                <w:szCs w:val="24"/>
                <w:u w:val="single"/>
                <w:lang w:val="en-US" w:eastAsia="zh-CN" w:bidi="ar"/>
              </w:rPr>
              <w:t>1273626</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yellow"/>
                <w:lang w:val="en-US" w:eastAsia="zh-CN"/>
              </w:rPr>
              <w:t>施工组织设计文件</w:t>
            </w:r>
            <w:r>
              <w:rPr>
                <w:rFonts w:hint="eastAsia"/>
                <w:sz w:val="24"/>
              </w:rPr>
              <w:t>、</w:t>
            </w:r>
            <w:r>
              <w:rPr>
                <w:sz w:val="24"/>
              </w:rPr>
              <w:t>⑥报价保证金交纳证明</w:t>
            </w:r>
            <w:r>
              <w:rPr>
                <w:rFonts w:hint="eastAsia"/>
                <w:sz w:val="24"/>
              </w:rPr>
              <w:t>、⑦退还谈判保证金承诺书。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福建省高速公路服务乡村振兴典型示范路提升改造工程路灯安装</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4月28日9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b/>
                <w:color w:val="000000"/>
                <w:sz w:val="24"/>
                <w:highlight w:val="none"/>
              </w:rPr>
              <w:t>质保</w:t>
            </w:r>
            <w:r>
              <w:rPr>
                <w:b/>
                <w:color w:val="000000"/>
                <w:sz w:val="24"/>
                <w:highlight w:val="none"/>
              </w:rPr>
              <w:t>期：</w:t>
            </w:r>
            <w:r>
              <w:rPr>
                <w:rFonts w:hint="eastAsia"/>
                <w:b/>
                <w:color w:val="000000"/>
                <w:sz w:val="24"/>
                <w:highlight w:val="none"/>
              </w:rPr>
              <w:t>本项目质保期为</w:t>
            </w:r>
            <w:r>
              <w:rPr>
                <w:rFonts w:hint="eastAsia"/>
                <w:b/>
                <w:color w:val="000000"/>
                <w:sz w:val="24"/>
                <w:highlight w:val="none"/>
                <w:lang w:val="en-US" w:eastAsia="zh-CN"/>
              </w:rPr>
              <w:t>36</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结算支付</w:t>
            </w:r>
          </w:p>
          <w:p>
            <w:pPr>
              <w:spacing w:line="300" w:lineRule="exact"/>
              <w:rPr>
                <w:rFonts w:hint="eastAsia" w:eastAsia="宋体"/>
                <w:b/>
                <w:color w:val="000000"/>
                <w:sz w:val="24"/>
                <w:highlight w:val="none"/>
              </w:rPr>
            </w:pPr>
            <w:r>
              <w:rPr>
                <w:rFonts w:hint="eastAsia" w:eastAsia="宋体"/>
                <w:b/>
                <w:color w:val="000000"/>
                <w:sz w:val="24"/>
                <w:highlight w:val="none"/>
              </w:rPr>
              <w:t>1.待工程项目验收合格后，</w:t>
            </w:r>
            <w:r>
              <w:rPr>
                <w:rFonts w:hint="eastAsia" w:eastAsia="宋体"/>
                <w:b/>
                <w:color w:val="000000"/>
                <w:sz w:val="24"/>
                <w:highlight w:val="none"/>
                <w:lang w:val="en-US" w:eastAsia="zh-CN"/>
              </w:rPr>
              <w:t>进行一次性结算，</w:t>
            </w:r>
            <w:r>
              <w:rPr>
                <w:rFonts w:hint="eastAsia" w:eastAsia="宋体"/>
                <w:b/>
                <w:color w:val="000000"/>
                <w:sz w:val="24"/>
                <w:highlight w:val="none"/>
              </w:rPr>
              <w:t>成交人提出工程最终结算并将有关资料送交采购人。采购人自接到上述资料应及时进行审核，双方按最终结算扣除质量保证金后</w:t>
            </w:r>
            <w:r>
              <w:rPr>
                <w:rFonts w:hint="eastAsia" w:eastAsia="宋体"/>
                <w:b/>
                <w:color w:val="000000"/>
                <w:sz w:val="24"/>
                <w:highlight w:val="none"/>
                <w:lang w:val="en-US" w:eastAsia="zh-CN"/>
              </w:rPr>
              <w:t>支付工程</w:t>
            </w:r>
            <w:r>
              <w:rPr>
                <w:rFonts w:hint="eastAsia" w:eastAsia="宋体"/>
                <w:b/>
                <w:color w:val="000000"/>
                <w:sz w:val="24"/>
                <w:highlight w:val="none"/>
              </w:rPr>
              <w:t>款。</w:t>
            </w:r>
          </w:p>
          <w:p>
            <w:pPr>
              <w:spacing w:line="300" w:lineRule="exact"/>
              <w:rPr>
                <w:rFonts w:hint="eastAsia" w:eastAsia="宋体"/>
                <w:b/>
                <w:color w:val="000000"/>
                <w:sz w:val="24"/>
                <w:highlight w:val="none"/>
              </w:rPr>
            </w:pPr>
            <w:r>
              <w:rPr>
                <w:rFonts w:hint="eastAsia" w:eastAsia="宋体"/>
                <w:b/>
                <w:color w:val="000000"/>
                <w:sz w:val="24"/>
                <w:highlight w:val="none"/>
              </w:rPr>
              <w:t>2.本项目缺陷责任期为壹年，缺陷责任期内若成交人未尽施工责任，采购人有权委托其他单位进行处理，成交人应无条件接受采购人所委托的价款并承担一切费用。</w:t>
            </w:r>
          </w:p>
          <w:p>
            <w:pPr>
              <w:spacing w:line="300" w:lineRule="exact"/>
              <w:rPr>
                <w:b/>
                <w:color w:val="000000"/>
                <w:sz w:val="24"/>
                <w:highlight w:val="none"/>
              </w:rPr>
            </w:pPr>
            <w:r>
              <w:rPr>
                <w:rFonts w:hint="eastAsia" w:eastAsia="宋体"/>
                <w:b/>
                <w:color w:val="000000"/>
                <w:sz w:val="24"/>
                <w:highlight w:val="none"/>
              </w:rPr>
              <w:t>3.根据双方签认的结算价款，成交人应提供正式的可抵扣的增值税专用发票，采购人收到成交人开具的正规增值税专用发票后，采购人采用银行转账的方式支付给成交人。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spacing w:line="300" w:lineRule="exact"/>
              <w:rPr>
                <w:b/>
                <w:color w:val="000000"/>
                <w:sz w:val="24"/>
                <w:highlight w:val="none"/>
              </w:rPr>
            </w:pPr>
            <w:r>
              <w:rPr>
                <w:rFonts w:hint="eastAsia"/>
                <w:b/>
                <w:color w:val="000000"/>
                <w:sz w:val="24"/>
                <w:highlight w:val="none"/>
              </w:rPr>
              <w:t>1.</w:t>
            </w:r>
            <w:r>
              <w:rPr>
                <w:b/>
                <w:color w:val="000000"/>
                <w:sz w:val="24"/>
                <w:highlight w:val="none"/>
              </w:rPr>
              <w:t>采购人提供材料：</w:t>
            </w:r>
            <w:r>
              <w:rPr>
                <w:rFonts w:hint="eastAsia"/>
                <w:b/>
                <w:color w:val="000000"/>
                <w:sz w:val="24"/>
                <w:highlight w:val="none"/>
              </w:rPr>
              <w:t>无。</w:t>
            </w:r>
          </w:p>
          <w:p>
            <w:pPr>
              <w:spacing w:line="300" w:lineRule="exact"/>
              <w:rPr>
                <w:b/>
                <w:color w:val="000000"/>
                <w:sz w:val="24"/>
                <w:highlight w:val="none"/>
              </w:rPr>
            </w:pPr>
            <w:r>
              <w:rPr>
                <w:rFonts w:hint="eastAsia"/>
                <w:b/>
                <w:color w:val="000000"/>
                <w:sz w:val="24"/>
                <w:highlight w:val="none"/>
              </w:rPr>
              <w:t>2.成交人提供材料：材料均由成交人提供</w:t>
            </w:r>
            <w:r>
              <w:rPr>
                <w:rFonts w:hint="eastAsia"/>
                <w:b/>
                <w:color w:val="000000"/>
                <w:sz w:val="24"/>
                <w:highlight w:val="none"/>
                <w:lang w:eastAsia="zh-CN"/>
              </w:rPr>
              <w:t>，</w:t>
            </w:r>
            <w:r>
              <w:rPr>
                <w:rFonts w:hint="eastAsia"/>
                <w:b/>
                <w:color w:val="000000"/>
                <w:sz w:val="24"/>
                <w:highlight w:val="none"/>
              </w:rPr>
              <w:t>灯杆厚度≥3.0mm、防护等级≥IP65、地笼尺寸≥250*250*22mm、法兰尺寸≥350*350*16mm、灯体材质Q235优质钢材、灯体总高10米（板拼党旗分色）</w:t>
            </w:r>
            <w:r>
              <w:rPr>
                <w:rFonts w:hint="eastAsia"/>
                <w:b/>
                <w:color w:val="000000"/>
                <w:sz w:val="24"/>
                <w:highlight w:val="none"/>
                <w:lang w:val="en-US" w:eastAsia="zh-CN"/>
              </w:rPr>
              <w:t>。</w:t>
            </w:r>
            <w:r>
              <w:rPr>
                <w:rFonts w:hint="eastAsia"/>
                <w:b/>
                <w:color w:val="000000"/>
                <w:sz w:val="24"/>
                <w:highlight w:val="none"/>
              </w:rPr>
              <w:t>采购人有权按相关试验检测规范对成交人提供材料进行检测，因材料不合格所带来的一切后果均由成交人承担。</w:t>
            </w:r>
          </w:p>
          <w:p>
            <w:pPr>
              <w:spacing w:line="300" w:lineRule="exact"/>
              <w:rPr>
                <w:b/>
                <w:color w:val="000000"/>
                <w:sz w:val="24"/>
                <w:highlight w:val="none"/>
              </w:rPr>
            </w:pPr>
            <w:r>
              <w:rPr>
                <w:rFonts w:hint="eastAsia"/>
                <w:b/>
                <w:color w:val="000000"/>
                <w:sz w:val="24"/>
                <w:highlight w:val="none"/>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5"/>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6"/>
                <w:rFonts w:hint="default"/>
                <w:sz w:val="20"/>
                <w:szCs w:val="20"/>
                <w:highlight w:val="none"/>
              </w:rPr>
              <w:t>、不服从业主、监理和项目技术人员管理，扣</w:t>
            </w:r>
            <w:r>
              <w:rPr>
                <w:rStyle w:val="24"/>
                <w:sz w:val="20"/>
                <w:szCs w:val="20"/>
                <w:highlight w:val="none"/>
              </w:rPr>
              <w:t>1</w:t>
            </w:r>
            <w:r>
              <w:rPr>
                <w:rStyle w:val="26"/>
                <w:rFonts w:hint="default"/>
                <w:sz w:val="20"/>
                <w:szCs w:val="20"/>
                <w:highlight w:val="none"/>
              </w:rPr>
              <w:t>分</w:t>
            </w:r>
            <w:r>
              <w:rPr>
                <w:rStyle w:val="24"/>
                <w:sz w:val="20"/>
                <w:szCs w:val="20"/>
                <w:highlight w:val="none"/>
              </w:rPr>
              <w:t>/</w:t>
            </w:r>
            <w:r>
              <w:rPr>
                <w:rStyle w:val="26"/>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2</w:t>
            </w:r>
            <w:r>
              <w:rPr>
                <w:rStyle w:val="25"/>
                <w:rFonts w:hint="default"/>
                <w:sz w:val="20"/>
                <w:szCs w:val="20"/>
                <w:highlight w:val="none"/>
              </w:rPr>
              <w:t>、现场施工场地不规范，不满足文明施工要求，扣</w:t>
            </w:r>
            <w:r>
              <w:rPr>
                <w:rStyle w:val="24"/>
                <w:sz w:val="20"/>
                <w:szCs w:val="20"/>
                <w:highlight w:val="none"/>
              </w:rPr>
              <w:t>1</w:t>
            </w:r>
            <w:r>
              <w:rPr>
                <w:rStyle w:val="25"/>
                <w:rFonts w:hint="default"/>
                <w:sz w:val="20"/>
                <w:szCs w:val="20"/>
                <w:highlight w:val="none"/>
              </w:rPr>
              <w:t>分</w:t>
            </w:r>
            <w:r>
              <w:rPr>
                <w:rStyle w:val="24"/>
                <w:sz w:val="20"/>
                <w:szCs w:val="20"/>
                <w:highlight w:val="none"/>
              </w:rPr>
              <w:t>/</w:t>
            </w:r>
            <w:r>
              <w:rPr>
                <w:rStyle w:val="25"/>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3</w:t>
            </w:r>
            <w:r>
              <w:rPr>
                <w:rStyle w:val="25"/>
                <w:rFonts w:hint="default"/>
                <w:sz w:val="20"/>
                <w:szCs w:val="20"/>
                <w:highlight w:val="none"/>
              </w:rPr>
              <w:t>、不配合项目部召开会议、培训等管理工作，扣</w:t>
            </w:r>
            <w:r>
              <w:rPr>
                <w:rStyle w:val="24"/>
                <w:sz w:val="20"/>
                <w:szCs w:val="20"/>
                <w:highlight w:val="none"/>
              </w:rPr>
              <w:t>2</w:t>
            </w:r>
            <w:r>
              <w:rPr>
                <w:rStyle w:val="25"/>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5"/>
              </w:numPr>
              <w:spacing w:line="400" w:lineRule="exact"/>
              <w:rPr>
                <w:rFonts w:hAnsi="宋体"/>
                <w:szCs w:val="21"/>
                <w:highlight w:val="none"/>
              </w:rPr>
            </w:pPr>
            <w:r>
              <w:rPr>
                <w:rFonts w:hint="eastAsia" w:hAnsi="宋体"/>
                <w:szCs w:val="21"/>
                <w:highlight w:val="none"/>
              </w:rPr>
              <w:t>报价人应满足第一章采购公告中的报价人的资格要求条件；</w:t>
            </w:r>
          </w:p>
          <w:p>
            <w:pPr>
              <w:numPr>
                <w:ilvl w:val="0"/>
                <w:numId w:val="5"/>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szCs w:val="21"/>
                <w:highlight w:val="none"/>
                <w:shd w:val="clear" w:color="auto" w:fill="FFFFFF"/>
              </w:rPr>
            </w:pPr>
            <w:r>
              <w:rPr>
                <w:rFonts w:hint="eastAsia" w:hAnsi="宋体"/>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pPr>
            <w:r>
              <w:rPr>
                <w:rFonts w:hint="eastAsia" w:eastAsia="宋体"/>
                <w:highlight w:val="none"/>
                <w:lang w:val="en-US" w:eastAsia="zh-CN"/>
              </w:rPr>
              <w:t xml:space="preserve">施工组织设计评分 </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szCs w:val="21"/>
                <w:highlight w:val="none"/>
                <w:shd w:val="clear" w:color="auto" w:fill="FFFFFF"/>
                <w:lang w:val="en-US" w:eastAsia="zh-CN"/>
              </w:rPr>
              <w:t>+</w:t>
            </w:r>
            <w:r>
              <w:rPr>
                <w:rFonts w:hint="eastAsia" w:eastAsia="宋体"/>
                <w:highlight w:val="none"/>
                <w:lang w:val="en-US" w:eastAsia="zh-CN"/>
              </w:rPr>
              <w:t>施工组织设计评分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rPr>
                <w:rFonts w:hint="eastAsia" w:ascii="宋体" w:hAnsi="宋体" w:eastAsia="宋体" w:cs="宋体"/>
              </w:rPr>
            </w:pPr>
            <w:r>
              <w:rPr>
                <w:rFonts w:hint="eastAsia" w:ascii="宋体" w:hAnsi="宋体" w:eastAsia="宋体" w:cs="宋体"/>
              </w:rPr>
              <w:t>评标基准价计算公式：B×(1-K)。其中：</w:t>
            </w:r>
          </w:p>
          <w:p>
            <w:pPr>
              <w:rPr>
                <w:rFonts w:hint="eastAsia" w:ascii="宋体" w:hAnsi="宋体" w:eastAsia="宋体" w:cs="宋体"/>
              </w:rPr>
            </w:pPr>
            <w:r>
              <w:rPr>
                <w:rFonts w:hint="eastAsia" w:ascii="宋体" w:hAnsi="宋体" w:eastAsia="宋体" w:cs="宋体"/>
              </w:rPr>
              <w:t>B为最高控制价。</w:t>
            </w:r>
          </w:p>
          <w:p>
            <w:pPr>
              <w:rPr>
                <w:rFonts w:hint="eastAsia" w:ascii="宋体" w:hAnsi="宋体" w:eastAsia="宋体" w:cs="宋体"/>
              </w:rPr>
            </w:pPr>
            <w:r>
              <w:rPr>
                <w:rFonts w:hint="eastAsia" w:ascii="宋体" w:hAnsi="宋体" w:eastAsia="宋体" w:cs="宋体"/>
              </w:rPr>
              <w:t>1、评标基准价计算取值范围：根据上述公式和K的取值区间上、下限计算确定评标基准价计算取值范围的上、下限。本采购项目K的取值区间为</w:t>
            </w:r>
            <w:r>
              <w:rPr>
                <w:rFonts w:hint="eastAsia" w:ascii="宋体" w:hAnsi="宋体" w:eastAsia="宋体" w:cs="宋体"/>
                <w:b/>
                <w:bCs/>
                <w:highlight w:val="none"/>
                <w:u w:val="single"/>
                <w:lang w:val="en-US" w:eastAsia="zh-CN"/>
              </w:rPr>
              <w:t>2</w:t>
            </w:r>
            <w:r>
              <w:rPr>
                <w:rFonts w:hint="eastAsia" w:ascii="宋体" w:hAnsi="宋体" w:eastAsia="宋体" w:cs="宋体"/>
                <w:b/>
                <w:bCs/>
                <w:highlight w:val="none"/>
                <w:u w:val="single"/>
              </w:rPr>
              <w:t>%~</w:t>
            </w:r>
            <w:r>
              <w:rPr>
                <w:rFonts w:hint="eastAsia" w:ascii="宋体" w:hAnsi="宋体" w:eastAsia="宋体" w:cs="宋体"/>
                <w:b/>
                <w:bCs/>
                <w:highlight w:val="none"/>
                <w:u w:val="single"/>
                <w:lang w:val="en-US" w:eastAsia="zh-CN"/>
              </w:rPr>
              <w:t>4</w:t>
            </w:r>
            <w:r>
              <w:rPr>
                <w:rFonts w:hint="eastAsia" w:ascii="宋体" w:hAnsi="宋体" w:eastAsia="宋体" w:cs="宋体"/>
                <w:b/>
                <w:bCs/>
                <w:highlight w:val="none"/>
                <w:u w:val="single"/>
              </w:rPr>
              <w:t>%</w:t>
            </w:r>
            <w:r>
              <w:rPr>
                <w:rFonts w:hint="eastAsia" w:ascii="宋体" w:hAnsi="宋体" w:eastAsia="宋体" w:cs="宋体"/>
              </w:rPr>
              <w:t>（含</w:t>
            </w:r>
            <w:r>
              <w:rPr>
                <w:rFonts w:hint="eastAsia" w:ascii="宋体" w:hAnsi="宋体" w:eastAsia="宋体" w:cs="宋体"/>
                <w:lang w:val="en-US" w:eastAsia="zh-CN"/>
              </w:rPr>
              <w:t>2</w:t>
            </w:r>
            <w:r>
              <w:rPr>
                <w:rFonts w:hint="eastAsia" w:ascii="宋体" w:hAnsi="宋体" w:eastAsia="宋体" w:cs="宋体"/>
              </w:rPr>
              <w:t>%，不含</w:t>
            </w:r>
            <w:r>
              <w:rPr>
                <w:rFonts w:hint="eastAsia" w:ascii="宋体" w:hAnsi="宋体" w:eastAsia="宋体" w:cs="宋体"/>
                <w:lang w:val="en-US" w:eastAsia="zh-CN"/>
              </w:rPr>
              <w:t>4</w:t>
            </w:r>
            <w:r>
              <w:rPr>
                <w:rFonts w:hint="eastAsia" w:ascii="宋体" w:hAnsi="宋体" w:eastAsia="宋体" w:cs="宋体"/>
              </w:rPr>
              <w:t>%），按百分数表示的K值小数点后保留2位。</w:t>
            </w:r>
          </w:p>
          <w:p>
            <w:pPr>
              <w:rPr>
                <w:rFonts w:hint="eastAsia" w:ascii="宋体" w:hAnsi="宋体" w:eastAsia="宋体" w:cs="宋体"/>
              </w:rPr>
            </w:pPr>
            <w:r>
              <w:rPr>
                <w:rFonts w:hint="eastAsia" w:ascii="宋体" w:hAnsi="宋体" w:eastAsia="宋体" w:cs="宋体"/>
              </w:rPr>
              <w:t>K值在所有报价人第二信封开启后，由采购人公开抽取。K值分三次抽取，首先抽取整数位，其次抽取小数点后第一位，最后抽取小数点后第二位</w:t>
            </w:r>
          </w:p>
          <w:p>
            <w:pPr>
              <w:rPr>
                <w:rFonts w:hint="eastAsia" w:ascii="宋体" w:hAnsi="宋体" w:eastAsia="宋体" w:cs="宋体"/>
              </w:rPr>
            </w:pPr>
            <w:r>
              <w:rPr>
                <w:rFonts w:hint="eastAsia" w:ascii="宋体" w:hAnsi="宋体" w:eastAsia="宋体" w:cs="宋体"/>
              </w:rPr>
              <w:t>2、评标基准价：根据上述公式和采购人公开抽取的K值计算确定。</w:t>
            </w:r>
          </w:p>
          <w:p>
            <w:pPr>
              <w:rPr>
                <w:rFonts w:ascii="宋体" w:hAnsi="宋体" w:eastAsia="宋体" w:cs="宋体"/>
                <w:szCs w:val="21"/>
              </w:rPr>
            </w:pPr>
            <w:r>
              <w:rPr>
                <w:rFonts w:hint="eastAsia" w:ascii="宋体" w:hAnsi="宋体" w:eastAsia="宋体" w:cs="宋体"/>
              </w:rPr>
              <w:t>3、评标基准价计算取值范围的上、下限和评标基准价均取整数（以“元”为单位，小数点后第一位“四舍五入”，第二位及以后不计）。</w:t>
            </w:r>
          </w:p>
          <w:p>
            <w:pPr>
              <w:tabs>
                <w:tab w:val="left" w:pos="720"/>
              </w:tabs>
              <w:spacing w:line="360" w:lineRule="exact"/>
              <w:ind w:firstLine="417" w:firstLineChars="199"/>
              <w:rPr>
                <w:rFonts w:hint="eastAsia" w:ascii="宋体" w:hAnsi="宋体" w:eastAsia="宋体"/>
                <w:szCs w:val="21"/>
              </w:rPr>
            </w:pPr>
            <w:r>
              <w:rPr>
                <w:rFonts w:hint="eastAsia" w:ascii="宋体" w:hAnsi="宋体" w:eastAsia="宋体"/>
                <w:szCs w:val="21"/>
              </w:rPr>
              <w:t>未通过第一信封资格评审或形式评审与响应性评审的投标价不参与评</w:t>
            </w:r>
            <w:r>
              <w:rPr>
                <w:rFonts w:hint="eastAsia" w:ascii="宋体" w:hAnsi="宋体" w:eastAsia="宋体"/>
                <w:szCs w:val="21"/>
                <w:lang w:val="en-US" w:eastAsia="zh-CN"/>
              </w:rPr>
              <w:t>审</w:t>
            </w:r>
            <w:r>
              <w:rPr>
                <w:rFonts w:hint="eastAsia" w:ascii="宋体" w:hAnsi="宋体" w:eastAsia="宋体"/>
                <w:szCs w:val="21"/>
              </w:rPr>
              <w:t>。</w:t>
            </w:r>
          </w:p>
          <w:p>
            <w:pPr>
              <w:tabs>
                <w:tab w:val="left" w:pos="720"/>
              </w:tabs>
              <w:spacing w:line="360" w:lineRule="exact"/>
              <w:ind w:firstLine="420" w:firstLineChars="199"/>
              <w:rPr>
                <w:rFonts w:hint="eastAsia" w:ascii="宋体" w:hAnsi="宋体" w:eastAsia="宋体"/>
                <w:b/>
                <w:bCs/>
                <w:szCs w:val="21"/>
              </w:rPr>
            </w:pPr>
            <w:r>
              <w:rPr>
                <w:rFonts w:hint="eastAsia" w:ascii="宋体" w:hAnsi="宋体" w:eastAsia="宋体" w:cs="宋体"/>
                <w:b/>
                <w:bCs/>
                <w:szCs w:val="21"/>
              </w:rPr>
              <w:t>除</w:t>
            </w:r>
            <w:r>
              <w:rPr>
                <w:rFonts w:hint="eastAsia" w:ascii="宋体" w:hAnsi="宋体" w:eastAsia="宋体" w:cs="宋体"/>
                <w:b/>
                <w:bCs/>
                <w:szCs w:val="21"/>
                <w:lang w:val="en-US" w:eastAsia="zh-CN"/>
              </w:rPr>
              <w:t>以上</w:t>
            </w:r>
            <w:r>
              <w:rPr>
                <w:rFonts w:hint="eastAsia" w:ascii="宋体" w:hAnsi="宋体" w:eastAsia="宋体"/>
                <w:b/>
                <w:bCs/>
                <w:szCs w:val="21"/>
              </w:rPr>
              <w:t>情况外的投标报价均参与</w:t>
            </w:r>
            <w:r>
              <w:rPr>
                <w:rFonts w:hint="eastAsia" w:ascii="宋体" w:hAnsi="宋体" w:eastAsia="宋体"/>
                <w:b/>
                <w:bCs/>
                <w:szCs w:val="21"/>
                <w:lang w:val="en-US" w:eastAsia="zh-CN"/>
              </w:rPr>
              <w:t>评审</w:t>
            </w:r>
            <w:r>
              <w:rPr>
                <w:rFonts w:hint="eastAsia" w:ascii="宋体" w:hAnsi="宋体" w:eastAsia="宋体"/>
                <w:b/>
                <w:bCs/>
                <w:szCs w:val="21"/>
              </w:rPr>
              <w:t>。</w:t>
            </w:r>
          </w:p>
          <w:p>
            <w:pPr>
              <w:spacing w:line="400" w:lineRule="exact"/>
              <w:rPr>
                <w:b/>
                <w:bCs/>
                <w:szCs w:val="21"/>
                <w:highlight w:val="none"/>
                <w:shd w:val="clear" w:color="auto" w:fill="FFFFFF"/>
              </w:rPr>
            </w:pPr>
            <w:r>
              <w:rPr>
                <w:rFonts w:hint="eastAsia" w:ascii="宋体" w:hAnsi="宋体" w:eastAsia="宋体" w:cs="Times New Roman"/>
                <w:kern w:val="2"/>
                <w:sz w:val="21"/>
                <w:szCs w:val="21"/>
                <w:lang w:eastAsia="zh-CN"/>
              </w:rPr>
              <w:t>如果报价人认为某一合同包的评审基准价计算有误，有权在评审现场提出，经监督人当场核实确认之后，可重新宣布评审基准价。确认后的评审基准价在整个评审期间保持不变，不随通过初步评审和详细评审的报价人的数量而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int="eastAsia" w:hAnsi="宋体"/>
                <w:szCs w:val="21"/>
                <w:highlight w:val="none"/>
              </w:rPr>
              <w:t>（1）如果报价人的评审价＞评审基准价，则评审价得分=90-偏差率×100×E1；</w:t>
            </w:r>
          </w:p>
          <w:p>
            <w:pPr>
              <w:widowControl/>
              <w:spacing w:line="400" w:lineRule="exact"/>
              <w:jc w:val="left"/>
              <w:rPr>
                <w:rFonts w:hAnsi="宋体"/>
                <w:szCs w:val="21"/>
                <w:highlight w:val="none"/>
              </w:rPr>
            </w:pPr>
            <w:r>
              <w:rPr>
                <w:rFonts w:hint="eastAsia" w:hAnsi="宋体"/>
                <w:szCs w:val="21"/>
                <w:highlight w:val="none"/>
              </w:rPr>
              <w:t>（2）如果报价人的评审价≤评审基准价，则评审价得分=90+偏差率×100×E2；</w:t>
            </w:r>
          </w:p>
          <w:p>
            <w:pPr>
              <w:widowControl/>
              <w:spacing w:line="400" w:lineRule="exact"/>
              <w:jc w:val="left"/>
              <w:rPr>
                <w:rFonts w:hAnsi="宋体"/>
                <w:szCs w:val="21"/>
                <w:highlight w:val="none"/>
              </w:rPr>
            </w:pPr>
            <w:r>
              <w:rPr>
                <w:rFonts w:hint="eastAsia" w:hAnsi="宋体"/>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szCs w:val="21"/>
                <w:highlight w:val="none"/>
              </w:rPr>
            </w:pPr>
            <w:r>
              <w:rPr>
                <w:rFonts w:hint="eastAsia" w:hAnsi="宋体"/>
                <w:szCs w:val="21"/>
                <w:highlight w:val="none"/>
              </w:rPr>
              <w:t>项目E1、E2取值分别为：E1=1.5   E2=1.0</w:t>
            </w:r>
          </w:p>
          <w:p>
            <w:pPr>
              <w:spacing w:line="400" w:lineRule="exact"/>
              <w:rPr>
                <w:szCs w:val="21"/>
                <w:highlight w:val="none"/>
                <w:shd w:val="clear" w:color="auto" w:fill="FFFFFF"/>
              </w:rPr>
            </w:pPr>
            <w:r>
              <w:rPr>
                <w:rFonts w:hint="eastAsia" w:hAnsi="宋体"/>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5"/>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（1）施工组织方案要求(满分2分)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a.内容符合基本要求，对工程概况及施工方案描述到位，得基本分1分；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（2）主要施工项目的施工方案、方法、技术措施(满分5分)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a.方案方法与技术措施基本合理，明确本项目实施的质量、进度和安全目标，根据投标人施工部署的科学、合理等情况，得基本分3分；</w:t>
            </w:r>
          </w:p>
          <w:p>
            <w:pPr>
              <w:widowControl/>
              <w:numPr>
                <w:ilvl w:val="0"/>
                <w:numId w:val="0"/>
              </w:numP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2.0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（3）安全、工期保证措施及应急预案(满分3分)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pStyle w:val="2"/>
              <w:ind w:left="0" w:leftChars="0" w:firstLine="0" w:firstLineChars="0"/>
              <w:rPr>
                <w:rFonts w:hint="default"/>
                <w:lang w:val="en-US" w:eastAsia="zh-CN"/>
              </w:rPr>
            </w:pPr>
            <w:r>
              <w:rPr>
                <w:rFonts w:hint="eastAsia" w:ascii="宋体" w:hAnsi="宋体" w:cs="Times New Roman"/>
                <w:kern w:val="2"/>
                <w:sz w:val="21"/>
                <w:szCs w:val="21"/>
                <w:lang w:val="en-US" w:eastAsia="zh-CN" w:bidi="ar-SA"/>
              </w:rPr>
              <w:t>C.编制的交通管控方案满足规范要求，有较为详细的交通管制措施，得基本分0.5分</w:t>
            </w:r>
          </w:p>
          <w:p>
            <w:pPr>
              <w:snapToGrid w:val="0"/>
              <w:spacing w:line="360" w:lineRule="exact"/>
              <w:jc w:val="left"/>
              <w:rPr>
                <w:rFonts w:ascii="宋体" w:hAnsi="宋体"/>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7</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w:t>
      </w:r>
      <w:r>
        <w:rPr>
          <w:rFonts w:hint="eastAsia" w:eastAsia="宋体"/>
          <w:highlight w:val="none"/>
          <w:lang w:val="en-US" w:eastAsia="zh-CN"/>
        </w:rPr>
        <w:t>施工组织设计评分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5"/>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5"/>
      </w:pPr>
    </w:p>
    <w:p>
      <w:pPr>
        <w:pStyle w:val="15"/>
        <w:ind w:firstLine="400"/>
        <w:rPr>
          <w:highlight w:val="none"/>
        </w:rPr>
      </w:pPr>
    </w:p>
    <w:p>
      <w:pPr>
        <w:pStyle w:val="15"/>
        <w:ind w:firstLine="400"/>
        <w:rPr>
          <w:highlight w:val="none"/>
        </w:rPr>
      </w:pPr>
    </w:p>
    <w:p>
      <w:pPr>
        <w:pStyle w:val="15"/>
        <w:ind w:firstLine="400"/>
        <w:rPr>
          <w:highlight w:val="none"/>
        </w:rPr>
      </w:pPr>
    </w:p>
    <w:p>
      <w:pPr>
        <w:pStyle w:val="15"/>
        <w:ind w:firstLine="400"/>
        <w:rPr>
          <w:highlight w:val="none"/>
        </w:rPr>
      </w:pPr>
    </w:p>
    <w:p>
      <w:pPr>
        <w:pStyle w:val="15"/>
        <w:ind w:firstLine="400"/>
        <w:rPr>
          <w:highlight w:val="none"/>
        </w:rPr>
      </w:pPr>
    </w:p>
    <w:p>
      <w:pPr>
        <w:numPr>
          <w:ilvl w:val="0"/>
          <w:numId w:val="6"/>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30"/>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5"/>
        <w:ind w:firstLine="480"/>
        <w:rPr>
          <w:rFonts w:ascii="仿宋_GB2312" w:eastAsia="仿宋_GB2312"/>
          <w:sz w:val="24"/>
          <w:highlight w:val="none"/>
        </w:rPr>
      </w:pPr>
    </w:p>
    <w:p>
      <w:pPr>
        <w:pStyle w:val="10"/>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5"/>
        <w:ind w:firstLine="883"/>
        <w:rPr>
          <w:rFonts w:ascii="仿宋_GB2312" w:hAnsi="宋体" w:eastAsia="仿宋_GB2312"/>
          <w:b/>
          <w:sz w:val="44"/>
          <w:szCs w:val="44"/>
          <w:highlight w:val="none"/>
        </w:rPr>
      </w:pPr>
    </w:p>
    <w:p>
      <w:pPr>
        <w:numPr>
          <w:ilvl w:val="0"/>
          <w:numId w:val="0"/>
        </w:numPr>
        <w:tabs>
          <w:tab w:val="left" w:pos="0"/>
        </w:tabs>
        <w:spacing w:line="440" w:lineRule="exact"/>
        <w:jc w:val="both"/>
        <w:outlineLvl w:val="0"/>
        <w:rPr>
          <w:highlight w:val="none"/>
        </w:rPr>
      </w:pPr>
    </w:p>
    <w:p>
      <w:pPr>
        <w:pStyle w:val="15"/>
        <w:ind w:firstLine="400"/>
        <w:rPr>
          <w:highlight w:val="none"/>
        </w:rPr>
      </w:pPr>
    </w:p>
    <w:p>
      <w:pPr>
        <w:jc w:val="both"/>
        <w:rPr>
          <w:rFonts w:ascii="宋体" w:hAnsi="宋体" w:cs="Arial"/>
          <w:b/>
          <w:bCs/>
          <w:kern w:val="0"/>
          <w:sz w:val="36"/>
          <w:szCs w:val="36"/>
          <w:highlight w:val="none"/>
        </w:rPr>
      </w:pPr>
    </w:p>
    <w:p>
      <w:pPr>
        <w:pStyle w:val="15"/>
        <w:rPr>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0"/>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5"/>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2"/>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p>
    <w:p>
      <w:pPr>
        <w:pStyle w:val="2"/>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2"/>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15"/>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2"/>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2"/>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2"/>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600" w:lineRule="exact"/>
        <w:ind w:firstLine="0"/>
        <w:jc w:val="left"/>
        <w:rPr>
          <w:b/>
          <w:bCs/>
          <w:highlight w:val="none"/>
        </w:rPr>
      </w:pPr>
      <w:r>
        <w:rPr>
          <w:rFonts w:hint="eastAsia"/>
          <w:b/>
          <w:bCs/>
          <w:highlight w:val="none"/>
        </w:rPr>
        <w:t>注：</w:t>
      </w:r>
    </w:p>
    <w:p>
      <w:pPr>
        <w:pStyle w:val="2"/>
        <w:numPr>
          <w:ilvl w:val="0"/>
          <w:numId w:val="7"/>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2"/>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5"/>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15"/>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5"/>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15"/>
        <w:ind w:left="0" w:leftChars="0" w:firstLine="0" w:firstLineChars="0"/>
        <w:jc w:val="center"/>
        <w:rPr>
          <w:rFonts w:hint="eastAsia" w:ascii="宋体" w:hAnsi="宋体" w:eastAsia="宋体" w:cs="宋体"/>
          <w:sz w:val="52"/>
          <w:szCs w:val="52"/>
          <w:highlight w:val="none"/>
          <w:u w:val="single"/>
        </w:rPr>
      </w:pPr>
      <w:r>
        <w:rPr>
          <w:rFonts w:hint="eastAsia" w:ascii="宋体" w:hAnsi="宋体" w:cs="宋体"/>
          <w:sz w:val="52"/>
          <w:szCs w:val="52"/>
          <w:highlight w:val="none"/>
          <w:u w:val="single"/>
          <w:lang w:eastAsia="zh-CN"/>
        </w:rPr>
        <w:t>福建省高速公路服务乡村振兴典型示范路提升改造工程路灯安装</w:t>
      </w:r>
      <w:r>
        <w:rPr>
          <w:rFonts w:hint="eastAsia" w:ascii="宋体" w:hAnsi="宋体" w:eastAsia="宋体" w:cs="宋体"/>
          <w:sz w:val="52"/>
          <w:szCs w:val="52"/>
          <w:highlight w:val="none"/>
          <w:u w:val="single"/>
        </w:rPr>
        <w:t>施工协作队伍选择</w:t>
      </w:r>
    </w:p>
    <w:p>
      <w:pPr>
        <w:pStyle w:val="9"/>
        <w:jc w:val="center"/>
        <w:rPr>
          <w:rFonts w:ascii="仿宋_GB2312" w:hAnsi="宋体" w:eastAsia="仿宋_GB2312"/>
          <w:sz w:val="44"/>
          <w:szCs w:val="44"/>
          <w:highlight w:val="none"/>
          <w:u w:val="single"/>
        </w:rPr>
      </w:pP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9"/>
        <w:spacing w:line="264" w:lineRule="auto"/>
        <w:rPr>
          <w:rFonts w:ascii="仿宋_GB2312" w:hAnsi="Times New Roman" w:eastAsia="仿宋_GB2312"/>
          <w:sz w:val="36"/>
          <w:highlight w:val="none"/>
        </w:rPr>
      </w:pPr>
    </w:p>
    <w:p>
      <w:pPr>
        <w:pStyle w:val="9"/>
        <w:rPr>
          <w:highlight w:val="none"/>
        </w:rPr>
      </w:pPr>
    </w:p>
    <w:p>
      <w:pPr>
        <w:pStyle w:val="29"/>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9"/>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9"/>
        <w:spacing w:line="264" w:lineRule="auto"/>
        <w:rPr>
          <w:rFonts w:ascii="仿宋_GB2312" w:hAnsi="Times New Roman" w:eastAsia="仿宋_GB2312"/>
          <w:sz w:val="36"/>
          <w:highlight w:val="none"/>
        </w:rPr>
      </w:pPr>
    </w:p>
    <w:p>
      <w:pPr>
        <w:pStyle w:val="29"/>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9"/>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9"/>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7、业绩证明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8、其他资料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15"/>
        <w:ind w:firstLine="643"/>
        <w:rPr>
          <w:rFonts w:ascii="仿宋_GB2312" w:hAnsi="宋体" w:eastAsia="仿宋_GB2312"/>
          <w:b/>
          <w:sz w:val="32"/>
          <w:szCs w:val="32"/>
          <w:highlight w:val="none"/>
        </w:rPr>
      </w:pPr>
    </w:p>
    <w:p>
      <w:pPr>
        <w:pStyle w:val="1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8"/>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福建省高速公路服务乡村振兴典型示范路提升改造工程路灯安装</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20个日历天内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2"/>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2"/>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2"/>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500" w:lineRule="exact"/>
        <w:ind w:firstLine="0"/>
        <w:rPr>
          <w:rFonts w:ascii="仿宋_GB2312" w:eastAsia="仿宋_GB2312"/>
          <w:sz w:val="24"/>
          <w:szCs w:val="24"/>
          <w:highlight w:val="none"/>
        </w:rPr>
      </w:pPr>
    </w:p>
    <w:p>
      <w:pPr>
        <w:pStyle w:val="2"/>
        <w:spacing w:line="500" w:lineRule="exact"/>
        <w:ind w:firstLine="0"/>
        <w:rPr>
          <w:rFonts w:ascii="仿宋_GB2312" w:eastAsia="仿宋_GB2312"/>
          <w:sz w:val="24"/>
          <w:szCs w:val="24"/>
          <w:highlight w:val="none"/>
        </w:rPr>
      </w:pPr>
    </w:p>
    <w:tbl>
      <w:tblPr>
        <w:tblStyle w:val="16"/>
        <w:tblW w:w="9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254"/>
        <w:gridCol w:w="90"/>
        <w:gridCol w:w="1130"/>
        <w:gridCol w:w="1766"/>
        <w:gridCol w:w="254"/>
        <w:gridCol w:w="455"/>
        <w:gridCol w:w="235"/>
        <w:gridCol w:w="17"/>
        <w:gridCol w:w="464"/>
        <w:gridCol w:w="286"/>
        <w:gridCol w:w="738"/>
        <w:gridCol w:w="298"/>
        <w:gridCol w:w="90"/>
        <w:gridCol w:w="649"/>
        <w:gridCol w:w="297"/>
        <w:gridCol w:w="730"/>
        <w:gridCol w:w="132"/>
        <w:gridCol w:w="168"/>
        <w:gridCol w:w="740"/>
        <w:gridCol w:w="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08" w:type="dxa"/>
          <w:trHeight w:val="499" w:hRule="atLeast"/>
        </w:trPr>
        <w:tc>
          <w:tcPr>
            <w:tcW w:w="8772" w:type="dxa"/>
            <w:gridSpan w:val="1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08" w:type="dxa"/>
          <w:trHeight w:val="580" w:hRule="atLeast"/>
        </w:trPr>
        <w:tc>
          <w:tcPr>
            <w:tcW w:w="8772" w:type="dxa"/>
            <w:gridSpan w:val="18"/>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项目名称：福建省高速公路服务乡村振兴典型示范路提升改造工程路灯安装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08" w:type="dxa"/>
          <w:trHeight w:val="702" w:hRule="atLeast"/>
        </w:trPr>
        <w:tc>
          <w:tcPr>
            <w:tcW w:w="117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4"/>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08" w:type="dxa"/>
          <w:trHeight w:val="702" w:hRule="atLeast"/>
        </w:trPr>
        <w:tc>
          <w:tcPr>
            <w:tcW w:w="11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76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31423</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08" w:type="dxa"/>
          <w:trHeight w:val="702" w:hRule="atLeast"/>
        </w:trPr>
        <w:tc>
          <w:tcPr>
            <w:tcW w:w="11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76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交通工程及沿线设施</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1242203</w:t>
            </w:r>
            <w:r>
              <w:rPr>
                <w:rFonts w:hint="eastAsia" w:ascii="宋体" w:hAnsi="宋体" w:eastAsia="宋体" w:cs="宋体"/>
                <w:i w:val="0"/>
                <w:iCs w:val="0"/>
                <w:color w:val="000000"/>
                <w:kern w:val="0"/>
                <w:sz w:val="24"/>
                <w:szCs w:val="24"/>
                <w:u w:val="none"/>
                <w:lang w:val="en-US" w:eastAsia="zh-CN" w:bidi="ar"/>
              </w:rPr>
              <w:t xml:space="preserve"> </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208" w:type="dxa"/>
          <w:trHeight w:val="702" w:hRule="atLeast"/>
        </w:trPr>
        <w:tc>
          <w:tcPr>
            <w:tcW w:w="11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6"/>
                <w:lang w:val="en-US" w:eastAsia="zh-CN" w:bidi="ar"/>
              </w:rPr>
              <w:t>第101章</w:t>
            </w:r>
            <w:r>
              <w:rPr>
                <w:rStyle w:val="37"/>
                <w:rFonts w:eastAsia="宋体"/>
                <w:lang w:val="en-US" w:eastAsia="zh-CN" w:bidi="ar"/>
              </w:rPr>
              <w:t>~</w:t>
            </w:r>
            <w:r>
              <w:rPr>
                <w:rStyle w:val="36"/>
                <w:lang w:val="en-US" w:eastAsia="zh-CN" w:bidi="ar"/>
              </w:rPr>
              <w:t>102章清单合计</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cs="Times New Roman"/>
                <w:i w:val="0"/>
                <w:iCs w:val="0"/>
                <w:color w:val="000000"/>
                <w:kern w:val="0"/>
                <w:sz w:val="24"/>
                <w:szCs w:val="24"/>
                <w:u w:val="none"/>
                <w:lang w:val="en-US" w:eastAsia="zh-CN" w:bidi="ar"/>
              </w:rPr>
              <w:t>1273626</w:t>
            </w:r>
          </w:p>
        </w:tc>
        <w:tc>
          <w:tcPr>
            <w:tcW w:w="182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208" w:type="dxa"/>
          <w:trHeight w:val="702" w:hRule="atLeast"/>
        </w:trPr>
        <w:tc>
          <w:tcPr>
            <w:tcW w:w="117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cs="Times New Roman"/>
                <w:i w:val="0"/>
                <w:iCs w:val="0"/>
                <w:color w:val="000000"/>
                <w:kern w:val="0"/>
                <w:sz w:val="24"/>
                <w:szCs w:val="24"/>
                <w:u w:val="none"/>
                <w:lang w:val="en-US" w:eastAsia="zh-CN" w:bidi="ar"/>
              </w:rPr>
              <w:t>1273626</w:t>
            </w:r>
          </w:p>
        </w:tc>
        <w:tc>
          <w:tcPr>
            <w:tcW w:w="1822"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99" w:hRule="atLeast"/>
        </w:trPr>
        <w:tc>
          <w:tcPr>
            <w:tcW w:w="968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402" w:hRule="atLeast"/>
        </w:trPr>
        <w:tc>
          <w:tcPr>
            <w:tcW w:w="9680" w:type="dxa"/>
            <w:gridSpan w:val="2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项目名称：福建省高速公路服务乡村振兴典型示范路提升改造工程路灯安装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99" w:hRule="atLeast"/>
        </w:trPr>
        <w:tc>
          <w:tcPr>
            <w:tcW w:w="9680" w:type="dxa"/>
            <w:gridSpan w:val="20"/>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第101章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w:t>
            </w:r>
          </w:p>
        </w:tc>
        <w:tc>
          <w:tcPr>
            <w:tcW w:w="33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次</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630.03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12601</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10102</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18822.03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18822</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499" w:hRule="atLeast"/>
        </w:trPr>
        <w:tc>
          <w:tcPr>
            <w:tcW w:w="5564"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99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i w:val="0"/>
                <w:iCs w:val="0"/>
                <w:color w:val="000000"/>
                <w:kern w:val="0"/>
                <w:sz w:val="24"/>
                <w:szCs w:val="24"/>
                <w:u w:val="none"/>
                <w:lang w:val="en-US" w:eastAsia="zh-CN" w:bidi="ar"/>
              </w:rPr>
              <w:t>31423</w:t>
            </w: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980"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980"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项目名称：福建省高速公路服务乡村振兴典型示范路提升改造工程路灯安装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80" w:type="dxa"/>
            <w:gridSpan w:val="21"/>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第102章   交通工程及沿线设施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80"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4"/>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4"/>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缆线安装</w:t>
            </w:r>
          </w:p>
        </w:tc>
        <w:tc>
          <w:tcPr>
            <w:tcW w:w="716"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8"/>
                <w:szCs w:val="18"/>
                <w:u w:val="none"/>
              </w:rPr>
            </w:pPr>
          </w:p>
        </w:tc>
        <w:tc>
          <w:tcPr>
            <w:tcW w:w="1040" w:type="dxa"/>
            <w:gridSpan w:val="3"/>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缆线安装(YJV-5*16)</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1497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74.21</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111092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1020102</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缆线安装(YJV-0.6/1KV 2*4)</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12580</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14.16</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178133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供电及照明系统</w:t>
            </w:r>
          </w:p>
        </w:tc>
        <w:tc>
          <w:tcPr>
            <w:tcW w:w="716"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照明系统设备与安装</w:t>
            </w:r>
          </w:p>
        </w:tc>
        <w:tc>
          <w:tcPr>
            <w:tcW w:w="716"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照明安装</w:t>
            </w:r>
          </w:p>
        </w:tc>
        <w:tc>
          <w:tcPr>
            <w:tcW w:w="716"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10202010101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10m单臂路灯</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宋体" w:cs="Arial Narrow"/>
                <w:i w:val="0"/>
                <w:iCs w:val="0"/>
                <w:color w:val="000000"/>
                <w:sz w:val="18"/>
                <w:szCs w:val="18"/>
                <w:u w:val="none"/>
                <w:lang w:val="en-US" w:eastAsia="zh-CN"/>
              </w:rPr>
            </w:pPr>
            <w:r>
              <w:rPr>
                <w:rFonts w:hint="eastAsia" w:ascii="Arial Narrow" w:hAnsi="Arial Narrow" w:eastAsia="宋体" w:cs="Arial Narrow"/>
                <w:i w:val="0"/>
                <w:iCs w:val="0"/>
                <w:color w:val="000000"/>
                <w:sz w:val="18"/>
                <w:szCs w:val="18"/>
                <w:u w:val="none"/>
                <w:lang w:val="en-US" w:eastAsia="zh-CN"/>
              </w:rPr>
              <w:t>6393.7</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lang w:val="en-US"/>
              </w:rPr>
            </w:pPr>
            <w:r>
              <w:rPr>
                <w:rFonts w:hint="eastAsia" w:ascii="Arial Narrow" w:hAnsi="Arial Narrow" w:eastAsia="Arial Narrow" w:cs="Arial Narrow"/>
                <w:i w:val="0"/>
                <w:iCs w:val="0"/>
                <w:color w:val="000000"/>
                <w:kern w:val="0"/>
                <w:sz w:val="18"/>
                <w:szCs w:val="18"/>
                <w:u w:val="none"/>
                <w:lang w:val="en-US" w:eastAsia="zh-CN" w:bidi="ar"/>
              </w:rPr>
              <w:t>626583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10202010102</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地道涵洞灯带</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156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90</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14040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102020102</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配电箱安装</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1400</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5600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102020103</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镀锌钢管</w:t>
            </w:r>
          </w:p>
        </w:tc>
        <w:tc>
          <w:tcPr>
            <w:tcW w:w="716"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10202010301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SC50</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1500</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52.49</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78735</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102020104</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安装PVC管</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3500</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19.71</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68985</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102020105</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接地连接线</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267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11.42</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3049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102020106</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接地装置</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101.88</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9984</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102020107</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电缆手孔井</w:t>
            </w:r>
          </w:p>
        </w:tc>
        <w:tc>
          <w:tcPr>
            <w:tcW w:w="716"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10202010701</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砖砌手孔井</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833.29</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54997</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102020108</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1258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37.38</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47024</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102020109</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路基填方(利用土方填筑)</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1186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12.92</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15323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80"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102020110</w:t>
            </w:r>
          </w:p>
        </w:tc>
        <w:tc>
          <w:tcPr>
            <w:tcW w:w="3308"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垫层（厚度15cm）</w:t>
            </w:r>
          </w:p>
        </w:tc>
        <w:tc>
          <w:tcPr>
            <w:tcW w:w="716"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1186.67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24.15</w:t>
            </w:r>
          </w:p>
        </w:tc>
        <w:tc>
          <w:tcPr>
            <w:tcW w:w="10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28658</w:t>
            </w:r>
          </w:p>
        </w:tc>
        <w:tc>
          <w:tcPr>
            <w:tcW w:w="10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20" w:type="dxa"/>
            <w:gridSpan w:val="11"/>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gridSpan w:val="2"/>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3"/>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1242203</w:t>
            </w:r>
            <w:bookmarkStart w:id="9" w:name="_GoBack"/>
            <w:bookmarkEnd w:id="9"/>
            <w:r>
              <w:rPr>
                <w:rFonts w:hint="eastAsia" w:ascii="宋体" w:hAnsi="宋体" w:eastAsia="宋体" w:cs="宋体"/>
                <w:b/>
                <w:bCs/>
                <w:i w:val="0"/>
                <w:iCs w:val="0"/>
                <w:color w:val="000000"/>
                <w:kern w:val="0"/>
                <w:sz w:val="20"/>
                <w:szCs w:val="20"/>
                <w:u w:val="none"/>
                <w:lang w:val="en-US" w:eastAsia="zh-CN" w:bidi="ar"/>
              </w:rPr>
              <w:t xml:space="preserve"> </w:t>
            </w:r>
          </w:p>
        </w:tc>
        <w:tc>
          <w:tcPr>
            <w:tcW w:w="104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2"/>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p>
    <w:p>
      <w:pPr>
        <w:pStyle w:val="2"/>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2"/>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2"/>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2"/>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2"/>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240" w:lineRule="auto"/>
        <w:ind w:firstLine="0"/>
        <w:jc w:val="left"/>
        <w:rPr>
          <w:b/>
          <w:bCs/>
          <w:highlight w:val="none"/>
        </w:rPr>
      </w:pPr>
      <w:r>
        <w:rPr>
          <w:rFonts w:hint="eastAsia"/>
          <w:b/>
          <w:bCs/>
          <w:highlight w:val="none"/>
        </w:rPr>
        <w:t>注：</w:t>
      </w:r>
    </w:p>
    <w:p>
      <w:pPr>
        <w:pStyle w:val="2"/>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2"/>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2"/>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2"/>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5"/>
        <w:ind w:firstLine="723"/>
        <w:rPr>
          <w:rFonts w:ascii="仿宋_GB2312" w:eastAsia="仿宋_GB2312"/>
          <w:b/>
          <w:sz w:val="36"/>
          <w:szCs w:val="36"/>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2"/>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、其他资料</w:t>
      </w:r>
    </w:p>
    <w:p>
      <w:pPr>
        <w:pStyle w:val="2"/>
        <w:spacing w:line="700" w:lineRule="exact"/>
        <w:ind w:firstLine="643" w:firstLineChars="2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七</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2"/>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lvlText w:val="%1."/>
      <w:lvlJc w:val="left"/>
      <w:pPr>
        <w:tabs>
          <w:tab w:val="left" w:pos="312"/>
        </w:tabs>
      </w:pPr>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00000005"/>
    <w:multiLevelType w:val="singleLevel"/>
    <w:tmpl w:val="00000005"/>
    <w:lvl w:ilvl="0" w:tentative="0">
      <w:start w:val="7"/>
      <w:numFmt w:val="chineseCounting"/>
      <w:suff w:val="nothing"/>
      <w:lvlText w:val="（%1）"/>
      <w:lvlJc w:val="left"/>
      <w:rPr>
        <w:rFonts w:hint="eastAsia"/>
      </w:rPr>
    </w:lvl>
  </w:abstractNum>
  <w:abstractNum w:abstractNumId="4">
    <w:nsid w:val="00000006"/>
    <w:multiLevelType w:val="singleLevel"/>
    <w:tmpl w:val="00000006"/>
    <w:lvl w:ilvl="0" w:tentative="0">
      <w:start w:val="1"/>
      <w:numFmt w:val="decimal"/>
      <w:lvlText w:val="%1."/>
      <w:lvlJc w:val="left"/>
      <w:pPr>
        <w:tabs>
          <w:tab w:val="left" w:pos="312"/>
        </w:tabs>
      </w:pPr>
    </w:lvl>
  </w:abstractNum>
  <w:abstractNum w:abstractNumId="5">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A"/>
    <w:multiLevelType w:val="singleLevel"/>
    <w:tmpl w:val="0000000A"/>
    <w:lvl w:ilvl="0" w:tentative="0">
      <w:start w:val="4"/>
      <w:numFmt w:val="chineseCounting"/>
      <w:suff w:val="nothing"/>
      <w:lvlText w:val="%1、"/>
      <w:lvlJc w:val="left"/>
      <w:rPr>
        <w:rFonts w:hint="eastAsia"/>
      </w:rPr>
    </w:lvl>
  </w:abstractNum>
  <w:abstractNum w:abstractNumId="7">
    <w:nsid w:val="0000000C"/>
    <w:multiLevelType w:val="singleLevel"/>
    <w:tmpl w:val="0000000C"/>
    <w:lvl w:ilvl="0" w:tentative="0">
      <w:start w:val="9"/>
      <w:numFmt w:val="chineseCounting"/>
      <w:suff w:val="nothing"/>
      <w:lvlText w:val="%1、"/>
      <w:lvlJc w:val="left"/>
      <w:rPr>
        <w:rFonts w:hint="eastAsia"/>
      </w:rPr>
    </w:lvl>
  </w:abstractNum>
  <w:num w:numId="1">
    <w:abstractNumId w:val="5"/>
  </w:num>
  <w:num w:numId="2">
    <w:abstractNumId w:val="3"/>
  </w:num>
  <w:num w:numId="3">
    <w:abstractNumId w:val="7"/>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DB24DDE"/>
    <w:rsid w:val="0FC822EB"/>
    <w:rsid w:val="18C63343"/>
    <w:rsid w:val="25AD1D69"/>
    <w:rsid w:val="25B25DCD"/>
    <w:rsid w:val="351D3DB6"/>
    <w:rsid w:val="3F8D7FCE"/>
    <w:rsid w:val="41100EFB"/>
    <w:rsid w:val="4EBB5232"/>
    <w:rsid w:val="52DD6385"/>
    <w:rsid w:val="5C7A006C"/>
    <w:rsid w:val="6EFF3807"/>
    <w:rsid w:val="7821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textAlignment w:val="baseline"/>
    </w:pPr>
    <w:rPr>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text"/>
    <w:basedOn w:val="1"/>
    <w:link w:val="21"/>
    <w:qFormat/>
    <w:uiPriority w:val="0"/>
    <w:pPr>
      <w:jc w:val="left"/>
    </w:pPr>
  </w:style>
  <w:style w:type="paragraph" w:styleId="8">
    <w:name w:val="Body Text Indent"/>
    <w:basedOn w:val="1"/>
    <w:next w:val="1"/>
    <w:qFormat/>
    <w:uiPriority w:val="99"/>
    <w:pPr>
      <w:spacing w:after="120"/>
      <w:ind w:left="420" w:leftChars="200"/>
    </w:pPr>
    <w:rPr>
      <w:rFonts w:ascii="Calibri" w:hAnsi="Calibri"/>
      <w:kern w:val="0"/>
      <w:sz w:val="20"/>
      <w:szCs w:val="20"/>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2"/>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index 1"/>
    <w:basedOn w:val="1"/>
    <w:next w:val="1"/>
    <w:qFormat/>
    <w:uiPriority w:val="0"/>
  </w:style>
  <w:style w:type="paragraph" w:styleId="14">
    <w:name w:val="annotation subject"/>
    <w:basedOn w:val="7"/>
    <w:next w:val="7"/>
    <w:link w:val="23"/>
    <w:qFormat/>
    <w:uiPriority w:val="0"/>
    <w:rPr>
      <w:b/>
      <w:bCs/>
    </w:rPr>
  </w:style>
  <w:style w:type="paragraph" w:styleId="15">
    <w:name w:val="Body Text First Indent 2"/>
    <w:basedOn w:val="8"/>
    <w:next w:val="10"/>
    <w:qFormat/>
    <w:uiPriority w:val="0"/>
    <w:pPr>
      <w:ind w:firstLine="420" w:firstLineChars="200"/>
    </w:p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7"/>
    <w:qFormat/>
    <w:uiPriority w:val="0"/>
    <w:rPr>
      <w:kern w:val="2"/>
      <w:sz w:val="21"/>
      <w:szCs w:val="24"/>
    </w:rPr>
  </w:style>
  <w:style w:type="character" w:customStyle="1" w:styleId="22">
    <w:name w:val="批注框文本 字符"/>
    <w:link w:val="11"/>
    <w:qFormat/>
    <w:uiPriority w:val="0"/>
    <w:rPr>
      <w:kern w:val="2"/>
      <w:sz w:val="18"/>
      <w:szCs w:val="18"/>
    </w:rPr>
  </w:style>
  <w:style w:type="character" w:customStyle="1" w:styleId="23">
    <w:name w:val="批注主题 字符"/>
    <w:link w:val="14"/>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9"/>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customStyle="1" w:styleId="35">
    <w:name w:val="Table Paragraph"/>
    <w:basedOn w:val="1"/>
    <w:qFormat/>
    <w:uiPriority w:val="99"/>
    <w:pPr>
      <w:jc w:val="left"/>
    </w:pPr>
    <w:rPr>
      <w:rFonts w:ascii="Calibri" w:hAnsi="Calibri" w:cs="Calibri"/>
      <w:kern w:val="0"/>
      <w:sz w:val="22"/>
      <w:szCs w:val="22"/>
      <w:lang w:eastAsia="en-US"/>
    </w:rPr>
  </w:style>
  <w:style w:type="character" w:customStyle="1" w:styleId="36">
    <w:name w:val="font61"/>
    <w:basedOn w:val="17"/>
    <w:qFormat/>
    <w:uiPriority w:val="0"/>
    <w:rPr>
      <w:rFonts w:hint="eastAsia" w:ascii="宋体" w:hAnsi="宋体" w:eastAsia="宋体" w:cs="宋体"/>
      <w:color w:val="000000"/>
      <w:sz w:val="24"/>
      <w:szCs w:val="24"/>
      <w:u w:val="none"/>
    </w:rPr>
  </w:style>
  <w:style w:type="character" w:customStyle="1" w:styleId="37">
    <w:name w:val="font8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1</TotalTime>
  <ScaleCrop>false</ScaleCrop>
  <LinksUpToDate>false</LinksUpToDate>
  <CharactersWithSpaces>27544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2023-04-25T00:45:13Z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81BAB06870F94029ADB062538085224A</vt:lpwstr>
  </property>
</Properties>
</file>